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t>(Gallup Compressor Station)</w:t>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18th day of October, 1999, (the "Effective Date") by an between </w:t>
      </w:r>
      <w:r>
        <w:rPr>
          <w:b/>
        </w:rPr>
        <w:t>ENRON COMPRESSION SERVICES COMPANY</w:t>
      </w:r>
      <w:r>
        <w:rPr/>
        <w:t xml:space="preserve">, a Delaware corporation ("ECS") and </w:t>
      </w:r>
      <w:r>
        <w:rPr>
          <w:b/>
        </w:rPr>
        <w:t>TRANSWESTERN PIPELNE COMPANY</w:t>
      </w:r>
      <w:r>
        <w:rPr/>
        <w:t>, a Delaware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owns certain Compressor Motor Facilities (hereafter defined), which shall be located on Operator’s San Juan Lateral in Section 8, Township 15 North, Range 17 West, McKinley County, New Mexico (the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(Gallup Compressor Station)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ind w:firstLine="720" w:end="0"/>
        <w:jc w:val="both"/>
        <w:rPr/>
      </w:pPr>
      <w:r>
        <w:rPr/>
        <w:t>"Gallup Electric Compressor Station" shall have the meaning as defined in the Compression Services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shall have the meaning as defined in the Compression Services Agreement.</w:t>
      </w:r>
    </w:p>
    <w:p>
      <w:pPr>
        <w:pStyle w:val="Normal"/>
        <w:jc w:val="both"/>
        <w:rPr/>
      </w:pPr>
      <w:r>
        <w:rPr/>
      </w:r>
    </w:p>
    <w:p>
      <w:pPr>
        <w:pStyle w:val="Normal"/>
        <w:jc w:val="both"/>
        <w:rPr/>
      </w:pPr>
      <w:r>
        <w:rPr/>
        <w:tab/>
        <w:t>"HP-Hours" shall have the meaning as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jc w:val="both"/>
        <w:rPr/>
      </w:pPr>
      <w:r>
        <w:rPr/>
      </w:r>
    </w:p>
    <w:p>
      <w:pPr>
        <w:pStyle w:val="Normal"/>
        <w:ind w:firstLine="720" w:end="0"/>
        <w:jc w:val="both"/>
        <w:rPr/>
      </w:pPr>
      <w:r>
        <w:rPr/>
        <w:t>"Load Factor" shall mean the Total Shaft Energy divided by the Total Monthly Contract Quantity, with the resulting quotient rounded up to the nearest 0.01."</w:t>
      </w:r>
    </w:p>
    <w:p>
      <w:pPr>
        <w:pStyle w:val="Normal"/>
        <w:jc w:val="both"/>
        <w:rPr/>
      </w:pPr>
      <w:r>
        <w:rPr/>
      </w:r>
    </w:p>
    <w:p>
      <w:pPr>
        <w:pStyle w:val="Normal"/>
        <w:ind w:firstLine="720" w:end="0"/>
        <w:jc w:val="both"/>
        <w:rPr/>
      </w:pPr>
      <w:r>
        <w:rPr/>
        <w:t>"O&amp;M Conversion Factor" shall mean the factor derived from the table set forth in Exhibit "B" based on a corresponding Load Factor.</w:t>
      </w:r>
    </w:p>
    <w:p>
      <w:pPr>
        <w:pStyle w:val="Normal"/>
        <w:ind w:firstLine="720" w:end="0"/>
        <w:jc w:val="both"/>
        <w:rPr/>
      </w:pPr>
      <w:r>
        <w:rPr/>
      </w:r>
    </w:p>
    <w:p>
      <w:pPr>
        <w:pStyle w:val="Normal"/>
        <w:ind w:firstLine="720" w:end="0"/>
        <w:jc w:val="both"/>
        <w:rPr/>
      </w:pPr>
      <w:r>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have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ind w:firstLine="720" w:end="0"/>
        <w:jc w:val="both"/>
        <w:rPr/>
      </w:pPr>
      <w:r>
        <w:rPr/>
      </w:r>
    </w:p>
    <w:p>
      <w:pPr>
        <w:pStyle w:val="Normal"/>
        <w:ind w:firstLine="720" w:end="0"/>
        <w:jc w:val="both"/>
        <w:rPr/>
      </w:pPr>
      <w:r>
        <w:rPr/>
        <w:t>"Total Monthly Contract Quantity" shall mean the 10,000 HP-hours per hour multiplied by the number of hours in the applicable month.</w:t>
      </w:r>
    </w:p>
    <w:p>
      <w:pPr>
        <w:pStyle w:val="Normal"/>
        <w:jc w:val="both"/>
        <w:rPr/>
      </w:pPr>
      <w:r>
        <w:rPr/>
      </w:r>
    </w:p>
    <w:p>
      <w:pPr>
        <w:pStyle w:val="BodyTextIndent3"/>
        <w:ind w:hanging="0" w:start="0" w:end="0"/>
        <w:rPr/>
      </w:pPr>
      <w:r>
        <w:rPr/>
        <w:tab/>
        <w:t>"Total Shaft Energy" shall mean the total amount of energy, measured in HP-hours, actually produced by the Compressor Motor Facilities (calculated in accordance with Section 3.3(b) of the Compression Services Agreement) in any applicable month.</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Enron Operating Company’s (EOC)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Compressor Motor Facilities in accordance with all material agreements and all applicable Laws, insurance policies and permits pertaining to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numPr>
          <w:ilvl w:val="1"/>
          <w:numId w:val="2"/>
        </w:numPr>
        <w:tabs>
          <w:tab w:val="clear" w:pos="720"/>
          <w:tab w:val="left" w:pos="0" w:leader="none"/>
        </w:tabs>
        <w:ind w:firstLine="720" w:start="0" w:end="0"/>
        <w:jc w:val="both"/>
        <w:rPr/>
      </w:pPr>
      <w:r>
        <w:rPr>
          <w:u w:val="single"/>
        </w:rPr>
        <w:t>Operating and Maintenance Fee.</w:t>
      </w:r>
      <w:r>
        <w:rPr/>
        <w:t xml:space="preserve"> ECS shall pay Operator an operating and maintenance fee to operate and maintain the Compressor Motor Facilities (including the provision of administrative services) (the "Operating and Maintenance Fee").  The Operating and Maintenance Fee shall be the O&amp;M Conversion Factor (based on the Load Factor for such month, as set forth in the table in Exhibit "B") multiplied by Total Shaft Energy.  In no event shall the total of all Operation and Maintenance Fees for any month be less than $4,166.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10 herein, the cost of such insurance, and any ad valorem taxes relating to the Compressor Motor Facilities.  Operator shall invoice the Owner for the Operating and Maintenance Fee for the immediately preceding month within 20 days of the 1st day of each month.  Owner shall provide to Operator the necessary information required for calculation of the Load Factor within 15 days of the 1st day of each month.  The Operating and Maintenance Fee shall be paid by Owner to Operator within 10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jc w:val="both"/>
        <w:rPr/>
      </w:pPr>
      <w:r>
        <w:rPr/>
      </w:r>
    </w:p>
    <w:p>
      <w:pPr>
        <w:pStyle w:val="BodyTextIndent2"/>
        <w:ind w:hanging="0" w:end="0"/>
        <w:jc w:val="center"/>
        <w:rPr>
          <w:b/>
        </w:rPr>
      </w:pPr>
      <w:r>
        <w:rPr>
          <w:b/>
        </w:rPr>
        <w:t>ARTICLE 5.</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Agreement shall become effective upon execution and shall continue in full force and effect for a term commencing on the Start Date and ending on the 10th anniversary of the Start Date (the "Term").</w:t>
      </w:r>
    </w:p>
    <w:p>
      <w:pPr>
        <w:pStyle w:val="BodyText2"/>
        <w:rPr/>
      </w:pPr>
      <w:r>
        <w:rPr/>
      </w:r>
    </w:p>
    <w:p>
      <w:pPr>
        <w:pStyle w:val="BodyTextIndent2"/>
        <w:tabs>
          <w:tab w:val="clear" w:pos="720"/>
          <w:tab w:val="left" w:pos="1440" w:leader="none"/>
        </w:tabs>
        <w:ind w:hanging="720" w:start="1440" w:end="0"/>
        <w:jc w:val="both"/>
        <w:rPr/>
      </w:pPr>
      <w:r>
        <w:rPr/>
        <w:t>5.2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tabs>
          <w:tab w:val="left" w:pos="720" w:leader="none"/>
        </w:tabs>
        <w:ind w:hanging="720" w:start="720" w:end="0"/>
        <w:jc w:val="both"/>
        <w:rPr/>
      </w:pPr>
      <w:r>
        <w:rPr/>
        <w:tab/>
        <w:tab/>
        <w:t>(i)</w:t>
        <w:tab/>
        <w:t xml:space="preserve">Upon the occurrence of any default by ECS in the payment of the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ind w:start="720" w:end="0"/>
        <w:jc w:val="both"/>
        <w:rPr/>
      </w:pPr>
      <w:r>
        <w:rPr/>
        <w:t>(ii)</w:t>
        <w:tab/>
        <w:t xml:space="preserve">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numPr>
          <w:ilvl w:val="0"/>
          <w:numId w:val="4"/>
        </w:numPr>
        <w:tabs>
          <w:tab w:val="clear" w:pos="720"/>
          <w:tab w:val="left" w:pos="1890" w:leader="none"/>
        </w:tabs>
        <w:jc w:val="both"/>
        <w:rPr/>
      </w:pPr>
      <w:r>
        <w:rPr/>
        <w:t>By either Party upon the termination of the Compression Services</w:t>
      </w:r>
    </w:p>
    <w:p>
      <w:pPr>
        <w:pStyle w:val="BodyTextIndent2"/>
        <w:jc w:val="both"/>
        <w:rPr/>
      </w:pPr>
      <w:r>
        <w:rPr/>
        <w:t>Agreement; or</w:t>
      </w:r>
    </w:p>
    <w:p>
      <w:pPr>
        <w:pStyle w:val="BodyTextIndent2"/>
        <w:jc w:val="both"/>
        <w:rPr/>
      </w:pPr>
      <w:r>
        <w:rPr/>
      </w:r>
    </w:p>
    <w:p>
      <w:pPr>
        <w:pStyle w:val="BodyTextIndent2"/>
        <w:tabs>
          <w:tab w:val="clear" w:pos="720"/>
          <w:tab w:val="left" w:pos="1890" w:leader="none"/>
        </w:tabs>
        <w:ind w:start="720" w:end="0"/>
        <w:jc w:val="both"/>
        <w:rPr/>
      </w:pPr>
      <w:r>
        <w:rPr/>
        <w:t>(iv)</w:t>
        <w:tab/>
        <w:t>Either Party may terminate this Agreement, in its sole discretion by giving the other Party 30 days written notice thereof.</w:t>
      </w:r>
    </w:p>
    <w:p>
      <w:pPr>
        <w:pStyle w:val="BodyTextIndent2"/>
        <w:jc w:val="both"/>
        <w:rPr/>
      </w:pPr>
      <w:r>
        <w:rPr/>
      </w:r>
    </w:p>
    <w:p>
      <w:pPr>
        <w:pStyle w:val="BodyTextIndent2"/>
        <w:jc w:val="center"/>
        <w:rPr>
          <w:b/>
        </w:rPr>
      </w:pPr>
      <w:r>
        <w:rPr>
          <w:b/>
        </w:rPr>
        <w:t>ARTICLE 6.</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6.1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5"/>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5"/>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6.2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7.1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 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8.</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tabs>
          <w:tab w:val="left" w:pos="720" w:leader="none"/>
        </w:tabs>
        <w:jc w:val="both"/>
        <w:rPr/>
      </w:pPr>
      <w:r>
        <w:rPr/>
        <w:tab/>
        <w:t>8.1</w:t>
        <w:tab/>
      </w: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tabs>
          <w:tab w:val="left" w:pos="720" w:leader="none"/>
        </w:tabs>
        <w:ind w:start="-90" w:end="0"/>
        <w:jc w:val="both"/>
        <w:rPr/>
      </w:pPr>
      <w:r>
        <w:rPr/>
        <w:tab/>
        <w:t>8.2</w:t>
        <w:tab/>
      </w: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tabs>
          <w:tab w:val="left" w:pos="720" w:leader="none"/>
        </w:tabs>
        <w:ind w:start="-90" w:end="0"/>
        <w:jc w:val="both"/>
        <w:rPr/>
      </w:pPr>
      <w:r>
        <w:rPr/>
        <w:tab/>
        <w:t>8.3</w:t>
        <w:tab/>
      </w: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BodyTextIndent2"/>
        <w:ind w:hanging="0" w:end="0"/>
        <w:jc w:val="center"/>
        <w:rPr>
          <w:b/>
        </w:rPr>
      </w:pPr>
      <w:r>
        <w:rPr>
          <w:b/>
        </w:rPr>
        <w:t>ARTICLE 9.</w:t>
      </w:r>
    </w:p>
    <w:p>
      <w:pPr>
        <w:pStyle w:val="BodyTextIndent2"/>
        <w:tabs>
          <w:tab w:val="clear" w:pos="720"/>
          <w:tab w:val="left" w:pos="990" w:leader="none"/>
        </w:tabs>
        <w:ind w:hanging="0" w:end="0"/>
        <w:jc w:val="center"/>
        <w:rPr>
          <w:b/>
          <w:u w:val="single"/>
        </w:rPr>
      </w:pPr>
      <w:r>
        <w:rPr>
          <w:b/>
          <w:u w:val="single"/>
        </w:rPr>
        <w:t>INSURANCE</w:t>
      </w:r>
    </w:p>
    <w:p>
      <w:pPr>
        <w:pStyle w:val="Normal"/>
        <w:jc w:val="both"/>
        <w:rPr>
          <w:b/>
          <w:u w:val="single"/>
        </w:rPr>
      </w:pPr>
      <w:r>
        <w:rPr>
          <w:b/>
          <w:u w:val="single"/>
        </w:rPr>
      </w:r>
    </w:p>
    <w:p>
      <w:pPr>
        <w:pStyle w:val="BodyText"/>
        <w:ind w:firstLine="720" w:end="0"/>
        <w:rPr/>
      </w:pPr>
      <w:r>
        <w:rPr/>
        <w:t xml:space="preserve"> </w:t>
      </w:r>
      <w:r>
        <w:rPr/>
        <w:t>ECS shall maintain replacement cost insurance for the Compressor Motor Facilities to insure against property damage losses, including losses caused by third parties.  Operator shall procure and maintain under the Enron Corp. insurance program during the term of this Agreement, those insurance coverages as set forth on Exhibit "C".</w:t>
      </w:r>
      <w:r>
        <w:rPr>
          <w:b/>
        </w:rPr>
        <w:t xml:space="preserve">  </w:t>
      </w:r>
      <w:r>
        <w:rPr/>
        <w:t>The costs for additional insurance coverage, if any, in force under the Enron Corp. insurance plan and applicable to the Compressor Motor Facilities and services provided hereunder is included in the Annual Operating and Maintenance Fee.  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
        <w:ind w:firstLine="720" w:end="0"/>
        <w:rPr/>
      </w:pPr>
      <w:r>
        <w:rPr/>
      </w:r>
    </w:p>
    <w:p>
      <w:pPr>
        <w:pStyle w:val="Normal"/>
        <w:keepNext w:val="true"/>
        <w:jc w:val="center"/>
        <w:rPr>
          <w:b/>
        </w:rPr>
      </w:pPr>
      <w:r>
        <w:rPr>
          <w:b/>
        </w:rPr>
        <w:t>ARTICLE 10</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10.1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10.2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10.3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BodyTextIndent2"/>
        <w:ind w:hanging="0" w:start="1440" w:end="0"/>
        <w:jc w:val="both"/>
        <w:rPr>
          <w:b/>
        </w:rPr>
      </w:pPr>
      <w:r>
        <w:rPr>
          <w:b/>
        </w:rPr>
      </w:r>
    </w:p>
    <w:p>
      <w:pPr>
        <w:pStyle w:val="BodyTextIndent2"/>
        <w:ind w:hanging="0" w:end="0"/>
        <w:jc w:val="center"/>
        <w:rPr>
          <w:b/>
        </w:rPr>
      </w:pPr>
      <w:r>
        <w:rPr>
          <w:b/>
        </w:rPr>
        <w:t>ARTICLE 11.</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11.1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Transwestern Pipeline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11.2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11.3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11.4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11.5</w:t>
        <w:tab/>
      </w:r>
      <w:r>
        <w:rPr>
          <w:u w:val="single"/>
        </w:rPr>
        <w:t>ECS ownership of Records and Materials</w:t>
      </w:r>
      <w:r>
        <w:rPr/>
        <w:t>.</w:t>
      </w:r>
    </w:p>
    <w:p>
      <w:pPr>
        <w:pStyle w:val="Normal"/>
        <w:jc w:val="both"/>
        <w:rPr/>
      </w:pPr>
      <w:r>
        <w:rPr/>
      </w:r>
    </w:p>
    <w:p>
      <w:pPr>
        <w:pStyle w:val="Normal"/>
        <w:numPr>
          <w:ilvl w:val="0"/>
          <w:numId w:val="3"/>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3"/>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11.6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11.7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11.8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11.9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11.10  </w:t>
      </w:r>
      <w:r>
        <w:rPr>
          <w:u w:val="single"/>
        </w:rPr>
        <w:t>Effective Date</w:t>
      </w:r>
      <w:r>
        <w:rPr/>
        <w:t xml:space="preserve">.  This Agreement is effective upon execution by both Parties.  The obligation to pay for services hereunder shall not, however, commence until the Start Date.  If services are not being provided hereunder by July 1, 2000,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TRANSWESTERN PIPELINE</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b/>
        </w:rPr>
      </w:pPr>
      <w:r>
        <w:rPr>
          <w:b/>
        </w:rPr>
      </w:r>
    </w:p>
    <w:p>
      <w:pPr>
        <w:pStyle w:val="Normal"/>
        <w:keepLines/>
        <w:widowControl w:val="false"/>
        <w:jc w:val="center"/>
        <w:rPr>
          <w:b/>
          <w:sz w:val="22"/>
        </w:rPr>
      </w:pPr>
      <w:r>
        <w:rPr>
          <w:b/>
          <w:sz w:val="22"/>
        </w:rPr>
        <w:t>EXHIBIT B</w:t>
      </w:r>
    </w:p>
    <w:p>
      <w:pPr>
        <w:pStyle w:val="BodyTextIndent"/>
        <w:keepLines/>
        <w:widowControl w:val="false"/>
        <w:ind w:start="0" w:end="0"/>
        <w:jc w:val="center"/>
        <w:rPr>
          <w:b/>
          <w:sz w:val="22"/>
          <w:u w:val="single"/>
        </w:rPr>
      </w:pPr>
      <w:r>
        <w:rPr>
          <w:b/>
          <w:sz w:val="22"/>
          <w:u w:val="single"/>
        </w:rPr>
        <w:t>O&amp;M CONVERSION FACTOR TABLE</w:t>
      </w:r>
    </w:p>
    <w:p>
      <w:pPr>
        <w:pStyle w:val="BodyTextIndent"/>
        <w:keepLines/>
        <w:widowControl w:val="false"/>
        <w:ind w:start="0" w:end="0"/>
        <w:jc w:val="center"/>
        <w:rPr>
          <w:b/>
          <w:sz w:val="22"/>
          <w:u w:val="single"/>
        </w:rPr>
      </w:pPr>
      <w:r>
        <w:rPr>
          <w:b/>
          <w:sz w:val="22"/>
          <w:u w:val="single"/>
        </w:rPr>
      </w:r>
    </w:p>
    <w:p>
      <w:pPr>
        <w:pStyle w:val="Normal"/>
        <w:rPr/>
      </w:pPr>
      <w:r>
        <w:rPr/>
        <w:drawing>
          <wp:inline distT="0" distB="0" distL="0" distR="0">
            <wp:extent cx="5380990" cy="8248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7" t="-4" r="-7" b="-4"/>
                    <a:stretch>
                      <a:fillRect/>
                    </a:stretch>
                  </pic:blipFill>
                  <pic:spPr bwMode="auto">
                    <a:xfrm>
                      <a:off x="0" y="0"/>
                      <a:ext cx="5380990" cy="8248015"/>
                    </a:xfrm>
                    <a:prstGeom prst="rect">
                      <a:avLst/>
                    </a:prstGeom>
                    <a:noFill/>
                  </pic:spPr>
                </pic:pic>
              </a:graphicData>
            </a:graphic>
          </wp:inline>
        </w:drawing>
      </w:r>
      <w:r>
        <w:br w:type="page"/>
      </w:r>
    </w:p>
    <w:p>
      <w:pPr>
        <w:pStyle w:val="Normal"/>
        <w:jc w:val="center"/>
        <w:rPr>
          <w:b/>
        </w:rPr>
      </w:pPr>
      <w:r>
        <w:rPr>
          <w:b/>
        </w:rPr>
        <w:t>EXHIBIT C</w:t>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3"/>
          <w:u w:val="single"/>
        </w:rPr>
      </w:pPr>
      <w:r>
        <w:rPr>
          <w:spacing w:val="-3"/>
          <w:u w:val="single"/>
        </w:rPr>
        <w:t>[To Come]</w:t>
      </w:r>
    </w:p>
    <w:sectPr>
      <w:footerReference w:type="default" r:id="rId4"/>
      <w:footerReference w:type="first" r:id="rId5"/>
      <w:type w:val="nextPage"/>
      <w:pgSz w:w="12240" w:h="15840"/>
      <w:pgMar w:left="1800" w:right="1800" w:gutter="0" w:header="0" w:top="1152"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720"/>
        </w:tabs>
        <w:ind w:start="2160" w:hanging="720"/>
      </w:pPr>
    </w:lvl>
  </w:abstractNum>
  <w:abstractNum w:abstractNumId="4">
    <w:lvl w:ilvl="0">
      <w:start w:val="3"/>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BodyTextIndent3">
    <w:name w:val="Body Text Indent 3"/>
    <w:basedOn w:val="Normal"/>
    <w:qFormat/>
    <w:pPr>
      <w:widowControl w:val="false"/>
      <w:ind w:hanging="630" w:start="63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wmf"/><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1999-10-15T17:24:00Z</dcterms:created>
  <dc:creator>ebraden</dc:creator>
  <dc:description/>
  <dc:language>en-CA</dc:language>
  <cp:lastModifiedBy>gnemec</cp:lastModifiedBy>
  <cp:lastPrinted>1999-10-18T10:43:00Z</cp:lastPrinted>
  <dcterms:modified xsi:type="dcterms:W3CDTF">1999-10-18T13:28:00Z</dcterms:modified>
  <cp:revision>4</cp:revision>
  <dc:subject/>
  <dc:title>OPERATIONS AND MAINTENANCE AGREEMENT</dc:title>
</cp:coreProperties>
</file>