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at ____________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$______.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jc w:val="both"/>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p>
      <w:pPr>
        <w:pStyle w:val="Normal"/>
        <w:rPr>
          <w:sz w:val="18"/>
        </w:rPr>
      </w:pPr>
      <w:bookmarkStart w:id="0" w:name="_1001154403"/>
      <w:bookmarkEnd w:id="0"/>
      <w:r>
        <w:rPr>
          <w:sz w:val="18"/>
        </w:rPr>
        <w:object w:dxaOrig="8461" w:dyaOrig="129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3.05pt;height:648.8pt" filled="f" o:ole="">
            <v:imagedata r:id="rId7" o:title=""/>
          </v:shape>
          <o:OLEObject Type="Embed" ProgID="" ShapeID="ole_rId6" DrawAspect="Content" ObjectID="_981426591" r:id="rId6"/>
        </w:object>
      </w:r>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8"/>
      <w:headerReference w:type="first" r:id="rId9"/>
      <w:footerReference w:type="default" r:id="rId10"/>
      <w:footerReference w:type="first" r:id="rId11"/>
      <w:type w:val="nextPage"/>
      <w:pgSz w:w="12240" w:h="15840"/>
      <w:pgMar w:left="1800" w:right="180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1999-10-11T16:06:00Z</dcterms:created>
  <dc:creator>ebraden</dc:creator>
  <dc:description/>
  <dc:language>en-CA</dc:language>
  <cp:lastModifiedBy>gnemec</cp:lastModifiedBy>
  <cp:lastPrinted>1999-10-11T13:48:00Z</cp:lastPrinted>
  <dcterms:modified xsi:type="dcterms:W3CDTF">1999-10-11T16:24:00Z</dcterms:modified>
  <cp:revision>7</cp:revision>
  <dc:subject/>
  <dc:title>OPERATIONS AND MAINTENANCE AGREEMENT</dc:title>
</cp:coreProperties>
</file>