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____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at ____________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is defined in the Compression Services Agreement.</w:t>
      </w:r>
    </w:p>
    <w:p>
      <w:pPr>
        <w:pStyle w:val="Normal"/>
        <w:jc w:val="both"/>
        <w:rPr/>
      </w:pPr>
      <w:r>
        <w:rPr/>
      </w:r>
    </w:p>
    <w:p>
      <w:pPr>
        <w:pStyle w:val="Normal"/>
        <w:jc w:val="both"/>
        <w:rPr/>
      </w:pPr>
      <w:r>
        <w:rPr/>
        <w:tab/>
        <w:t>"HP-Hours" is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$______.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INGRESS AND EGRESS</w:t>
      </w:r>
    </w:p>
    <w:p>
      <w:pPr>
        <w:pStyle w:val="BodyTextIndent2"/>
        <w:jc w:val="both"/>
        <w:rPr>
          <w:u w:val="single"/>
        </w:rPr>
      </w:pPr>
      <w:r>
        <w:rPr>
          <w:u w:val="single"/>
        </w:rPr>
      </w:r>
    </w:p>
    <w:p>
      <w:pPr>
        <w:pStyle w:val="BodyTextIndent"/>
        <w:tabs>
          <w:tab w:val="clear" w:pos="1440"/>
          <w:tab w:val="left" w:pos="720" w:leader="none"/>
        </w:tabs>
        <w:ind w:start="0" w:end="0"/>
        <w:rPr/>
      </w:pPr>
      <w:r>
        <w:rPr/>
        <w:tab/>
        <w:t xml:space="preserve">ECS hereby grants to Operator non-exclusive rights of ingress and egress to the Leased Premises to perform the services described in Article 2.  Operator shall utilized the Leased Premises and shall cause its employees, agents, contractors, subcontractors and related persons to utilize the leased premises as reasonably prudent operators and in a good and workmanlike manner.  </w:t>
      </w:r>
    </w:p>
    <w:p>
      <w:pPr>
        <w:pStyle w:val="BodyTextIndent2"/>
        <w:jc w:val="both"/>
        <w:rPr/>
      </w:pPr>
      <w:r>
        <w:rPr/>
      </w:r>
    </w:p>
    <w:p>
      <w:pPr>
        <w:pStyle w:val="BodyTextIndent2"/>
        <w:ind w:hanging="0" w:end="0"/>
        <w:jc w:val="center"/>
        <w:rPr>
          <w:b/>
        </w:rPr>
      </w:pPr>
      <w:r>
        <w:rPr>
          <w:b/>
        </w:rPr>
        <w:t>ARTICLE 6.</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6.1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6.2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Agreement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or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ind w:firstLine="720" w:start="720" w:end="0"/>
        <w:jc w:val="both"/>
        <w:rPr/>
      </w:pPr>
      <w:r>
        <w:rPr/>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7.1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7.2</w:t>
        <w:tab/>
      </w:r>
      <w:r>
        <w:rPr>
          <w:u w:val="single"/>
        </w:rPr>
        <w:t>Survival.</w:t>
      </w:r>
      <w:r>
        <w:rPr/>
        <w:t xml:space="preserve">  Notwithstanding any other section of this Agreement to the contrary, the provisions of this Article 7 shall survive the termination of this Agreement for a period of two years after such termination.</w:t>
      </w:r>
    </w:p>
    <w:p>
      <w:pPr>
        <w:pStyle w:val="BodyTextIndent2"/>
        <w:jc w:val="both"/>
        <w:rPr/>
      </w:pPr>
      <w:r>
        <w:rPr/>
      </w:r>
    </w:p>
    <w:p>
      <w:pPr>
        <w:pStyle w:val="BodyTextIndent2"/>
        <w:jc w:val="center"/>
        <w:rPr>
          <w:b/>
        </w:rPr>
      </w:pPr>
      <w:r>
        <w:rPr>
          <w:b/>
        </w:rPr>
        <w:t>ARTICLE 8.</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8.1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9.</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numPr>
          <w:ilvl w:val="1"/>
          <w:numId w:val="6"/>
        </w:numPr>
        <w:tabs>
          <w:tab w:val="clear" w:pos="720"/>
          <w:tab w:val="left" w:pos="900" w:leader="none"/>
          <w:tab w:val="left" w:pos="1440" w:leader="none"/>
        </w:tabs>
        <w:ind w:firstLine="720" w:start="0" w:end="0"/>
        <w:jc w:val="both"/>
        <w:rPr/>
      </w:pP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numPr>
          <w:ilvl w:val="1"/>
          <w:numId w:val="6"/>
        </w:numPr>
        <w:tabs>
          <w:tab w:val="left" w:pos="720" w:leader="none"/>
          <w:tab w:val="left" w:pos="900" w:leader="none"/>
        </w:tabs>
        <w:ind w:firstLine="810" w:start="-90" w:end="0"/>
        <w:jc w:val="both"/>
        <w:rPr/>
      </w:pP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numPr>
          <w:ilvl w:val="1"/>
          <w:numId w:val="6"/>
        </w:numPr>
        <w:tabs>
          <w:tab w:val="left" w:pos="720" w:leader="none"/>
          <w:tab w:val="left" w:pos="900" w:leader="none"/>
        </w:tabs>
        <w:ind w:firstLine="810" w:start="-90" w:end="0"/>
        <w:jc w:val="both"/>
        <w:rPr/>
      </w:pP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10.</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11</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11.1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11.2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12.3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11.3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11.4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12.</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12.1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12.2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12.3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12.4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12.5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12.6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12.7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12.8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12.9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12.10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BodyTextIndent"/>
        <w:ind w:start="0" w:end="0"/>
        <w:jc w:val="center"/>
        <w:rPr/>
      </w:pPr>
      <w:r>
        <w:rPr/>
        <w:t>O&amp;M CONVERSION FACTOR TABLE</w:t>
      </w:r>
    </w:p>
    <w:tbl>
      <w:tblPr>
        <w:tblW w:w="8855" w:type="dxa"/>
        <w:jc w:val="start"/>
        <w:tblInd w:w="0" w:type="dxa"/>
        <w:tblLayout w:type="fixed"/>
        <w:tblCellMar>
          <w:top w:w="0" w:type="dxa"/>
          <w:start w:w="108" w:type="dxa"/>
          <w:bottom w:w="0" w:type="dxa"/>
          <w:end w:w="108" w:type="dxa"/>
        </w:tblCellMar>
      </w:tblPr>
      <w:tblGrid>
        <w:gridCol w:w="1771"/>
        <w:gridCol w:w="1771"/>
        <w:gridCol w:w="1771"/>
        <w:gridCol w:w="1771"/>
        <w:gridCol w:w="1771"/>
      </w:tblGrid>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u w:val="single"/>
                <w:lang w:eastAsia="en-US"/>
              </w:rPr>
            </w:pPr>
            <w:r>
              <w:rPr>
                <w:rFonts w:cs="Arial" w:ascii="Arial" w:hAnsi="Arial"/>
                <w:color w:val="000000"/>
                <w:sz w:val="20"/>
                <w:u w:val="single"/>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 ($/HPhr)</w:t>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1.00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0.90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0.40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0.80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0.30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0.70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0.20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0.60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0.10</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0.09</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0.08</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0.07</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0.06</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0.05</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0.04</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0.03</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0.02</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r>
        <w:trPr>
          <w:trHeight w:val="120" w:hRule="atLeast"/>
        </w:trPr>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0.51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sz w:val="20"/>
                <w:lang w:eastAsia="en-US"/>
              </w:rPr>
            </w:pPr>
            <w:r>
              <w:rPr>
                <w:rFonts w:cs="Arial" w:ascii="Arial" w:hAnsi="Arial"/>
                <w:color w:val="000000"/>
                <w:sz w:val="20"/>
                <w:lang w:eastAsia="en-US"/>
              </w:rPr>
              <w:t>0.01</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color w:val="000000"/>
                <w:sz w:val="20"/>
                <w:lang w:eastAsia="en-US"/>
              </w:rPr>
            </w:pPr>
            <w:r>
              <w:rPr>
                <w:rFonts w:cs="Arial" w:ascii="Arial" w:hAnsi="Arial"/>
                <w:color w:val="000000"/>
                <w:sz w:val="20"/>
                <w:lang w:eastAsia="en-US"/>
              </w:rPr>
            </w:r>
          </w:p>
        </w:tc>
      </w:tr>
    </w:tbl>
    <w:p>
      <w:pPr>
        <w:pStyle w:val="BodyTextIndent"/>
        <w:ind w:start="0" w:end="0"/>
        <w:jc w:val="center"/>
        <w:rPr/>
      </w:pPr>
      <w:r>
        <w:rPr/>
      </w:r>
    </w:p>
    <w:p>
      <w:pPr>
        <w:pStyle w:val="Normal"/>
        <w:jc w:val="both"/>
        <w:rPr/>
      </w:pPr>
      <w:r>
        <w:rPr/>
      </w:r>
      <w:r>
        <w:br w:type="page"/>
      </w:r>
    </w:p>
    <w:p>
      <w:pPr>
        <w:pStyle w:val="Normal"/>
        <w:jc w:val="center"/>
        <w:rPr>
          <w:b/>
        </w:rPr>
      </w:pPr>
      <w:r>
        <w:rPr>
          <w:b/>
        </w:rPr>
        <w:t>EXHIBIT "C"</w:t>
      </w:r>
    </w:p>
    <w:p>
      <w:pPr>
        <w:pStyle w:val="Normal"/>
        <w:jc w:val="center"/>
        <w:rPr>
          <w:b/>
        </w:rPr>
      </w:pPr>
      <w:r>
        <w:rPr>
          <w:b/>
        </w:rPr>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10/7/99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10/7/99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1999-10-07T16:37:00Z</dcterms:created>
  <dc:creator>ebraden</dc:creator>
  <dc:description/>
  <dc:language>en-CA</dc:language>
  <cp:lastModifiedBy>gnemec</cp:lastModifiedBy>
  <cp:lastPrinted>1999-10-07T13:22:00Z</cp:lastPrinted>
  <dcterms:modified xsi:type="dcterms:W3CDTF">1999-10-07T16:37:00Z</dcterms:modified>
  <cp:revision>2</cp:revision>
  <dc:subject/>
  <dc:title>OPERATIONS AND MAINTENANCE AGREEMENT</dc:title>
</cp:coreProperties>
</file>