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by providing horsepower capacity and related horsepower hours to be used to operate compressors on natural gas pipelines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Demand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Conversion Factor</w:t>
      </w:r>
      <w:r>
        <w:rPr>
          <w:rFonts w:cs="Times New Roman" w:ascii="Times New Roman" w:hAnsi="Times New Roman"/>
          <w:sz w:val="24"/>
        </w:rPr>
        <w:t xml:space="preserve">" shall mean the factor derived from the table set forth in </w:t>
      </w:r>
      <w:r>
        <w:rPr>
          <w:rFonts w:cs="Times New Roman" w:ascii="Times New Roman" w:hAnsi="Times New Roman"/>
          <w:sz w:val="24"/>
          <w:u w:val="single"/>
        </w:rPr>
        <w:t>Exhibit "B"</w:t>
      </w:r>
      <w:r>
        <w:rPr>
          <w:rFonts w:cs="Times New Roman" w:ascii="Times New Roman" w:hAnsi="Times New Roman"/>
          <w:sz w:val="24"/>
        </w:rPr>
        <w:t xml:space="preserve"> based on a corresponding Load Factor, which shall be used to convert HP-hours to MMBtu.</w:t>
      </w:r>
    </w:p>
    <w:p>
      <w:pPr>
        <w:pStyle w:val="BodyText2"/>
        <w:ind w:firstLine="720" w:end="0"/>
        <w:rPr>
          <w:rFonts w:ascii="Times New Roman" w:hAnsi="Times New Roman" w:cs="Times New Roman"/>
          <w:sz w:val="24"/>
        </w:rPr>
      </w:pPr>
      <w:r>
        <w:rPr>
          <w:rFonts w:cs="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____________________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Equivalent HP-hours</w:t>
      </w:r>
      <w:r>
        <w:rPr>
          <w:rFonts w:cs="Times New Roman" w:ascii="Times New Roman" w:hAnsi="Times New Roman"/>
          <w:sz w:val="24"/>
        </w:rPr>
        <w: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10,000 HP-hours, further multiplied by (iii) the number of hours during which there was an interruption of Shaft Energy delivery by ECS in accordance with Section 2.4 of this Agreement or a Force Majeure event hereunder.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 energy supplier to the Seller for the operation of the Compressor Motor, or any other causes, whether of the kind herein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Fuel Gas</w:t>
      </w:r>
      <w:r>
        <w:rPr>
          <w:rFonts w:cs="Times New Roman" w:ascii="Times New Roman" w:hAnsi="Times New Roman"/>
          <w:sz w:val="24"/>
        </w:rPr>
        <w:t>"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w:t>
      </w:r>
      <w:r>
        <w:rPr>
          <w:rFonts w:cs="Times New Roman" w:ascii="Times New Roman" w:hAnsi="Times New Roman"/>
          <w:b/>
          <w:sz w:val="24"/>
        </w:rPr>
        <w:t xml:space="preserve"> [owned/leased]</w:t>
      </w:r>
      <w:r>
        <w:rPr>
          <w:rFonts w:cs="Times New Roman" w:ascii="Times New Roman" w:hAnsi="Times New Roman"/>
          <w:sz w:val="24"/>
        </w:rPr>
        <w:t xml:space="preserve"> by Customer and is located on Customer's _________ lateral at the _______________, _____________ County, New Mexico.</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Load Factor</w:t>
      </w:r>
      <w:r>
        <w:rPr>
          <w:rFonts w:cs="Times New Roman" w:ascii="Times New Roman" w:hAnsi="Times New Roman"/>
          <w:sz w:val="24"/>
        </w:rPr>
        <w:t>" shall mean the aggregate amount of Shaft Energy produced by the Compressor Motor during the applicable month divided by the Monthly Contract Quantity, with the resulting quotient rounded up to the nearest 0.01.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Monthly Contract Quantity</w:t>
      </w:r>
      <w:r>
        <w:rPr>
          <w:rFonts w:cs="Times New Roman" w:ascii="Times New Roman" w:hAnsi="Times New Roman"/>
          <w:sz w:val="24"/>
        </w:rPr>
        <w:t>"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that certain Operation and Maintenance Agreement (Gallup Compressor Station), of even date herewith,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date shall be the later to occur of (i) ___________, 1999, or (ii) the date that Customer's ___________ Expansion facilities are placed into service pursuant to FERC Docket No. CP____________.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 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______________ Lateral Expansion facilities, including the Gallup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Demand Charge</w:t>
      </w:r>
      <w:r>
        <w:rPr>
          <w:rFonts w:cs="Times New Roman" w:ascii="Times New Roman" w:hAnsi="Times New Roman"/>
          <w:sz w:val="24"/>
        </w:rPr>
        <w:t xml:space="preserve">.  As compensation for the delivery of HP Capacity to Customer, Customer agrees to pay ECS an Annual Demand Charge in the amounts set forth in </w:t>
      </w:r>
      <w:r>
        <w:rPr>
          <w:rFonts w:cs="Times New Roman" w:ascii="Times New Roman" w:hAnsi="Times New Roman"/>
          <w:sz w:val="24"/>
          <w:u w:val="single"/>
        </w:rPr>
        <w:t>Exhibit "A"</w:t>
      </w:r>
      <w:r>
        <w:rPr>
          <w:rFonts w:cs="Times New Roman" w:ascii="Times New Roman" w:hAnsi="Times New Roman"/>
          <w:sz w:val="24"/>
        </w:rPr>
        <w:t xml:space="preserve"> hereto.  Commencing the first month after the Start Date, the Annual Demand Charge shall be payable in twelve equal monthly installments beginning the first month of each Contract Year.  If the Start Date is on a day other than the first day of a month, Customer shall pay ECS an amount equal to one-twelfth of the first Contract Year's Annual Demand Charge, prorated for the number of days in such month from and after the Start Date.  The Annual Demand Charge includes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Demand Charge, Customer shall pay ECS a monthly Compression Services Charge in MMBtus of natural gas ("Fuel Gas") based upon the amount of Shaft Energy (other than Buy Through Shaft Energy) actually delivered to Customer each month pursuant to this Agreement and the Bloomfield Compression Services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the product of Conversion Factor for the second month preceding the month for which the Compression Services Charge is being calculated (based on the Load Factor for such month, as set forth in the table in </w:t>
      </w:r>
      <w:r>
        <w:rPr>
          <w:u w:val="single"/>
        </w:rPr>
        <w:t>Exhibit "B"</w:t>
      </w:r>
      <w:r>
        <w:rPr/>
        <w:t>), multiplied by the aggregate amount of Shaft Energy, including all Equivalent HP-hours,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which is, in turn, based on the price of electric energy CDEC or the Utility is to purchase from its wholesale supplier of electric energy (the "</w:t>
      </w:r>
      <w:r>
        <w:rPr>
          <w:rFonts w:cs="Times New Roman" w:ascii="Times New Roman" w:hAnsi="Times New Roman"/>
          <w:sz w:val="24"/>
          <w:u w:val="single"/>
        </w:rPr>
        <w:t>Wholesale Supplier</w:t>
      </w:r>
      <w:r>
        <w:rPr>
          <w:rFonts w:cs="Times New Roman" w:ascii="Times New Roman" w:hAnsi="Times New Roman"/>
          <w:sz w:val="24"/>
        </w:rPr>
        <w:t>").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as a result of an increase in the price the Wholesale Supplier charges CDEC or the Utility for electric energy, then ECS shall notify Customer of such increase and ECS, at Customer's option specified in writing, shall either (i) adjust the Conversion Factor, in a written notice to Customer, to reflect the increase in price or (ii) invoice Customer for a cash payment for the incremental increase in the price of energy.  If the price ECS pays decreases as a result in a decrease in the price the Wholesale Supplier charges CDEC or the Utility, ECS and Customer shall mutually agree in writing on an adjusted Conversion Factor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No later than the tenth Business Day prior to the end of each month, ECS shall send Customer a written notice specifying in reasonable detail the Compression Services Charge payable, and the equivalent amount of Fuel Gas to be delivered, to ECS for the immediately succeeding month.  The monthly Compression Services Charge shall be delivered to ECS in equal daily installments.  ECS shall take receipt of the monthly Compression Services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3.7 </w:t>
        <w:tab/>
      </w:r>
      <w:r>
        <w:rPr>
          <w:rFonts w:cs="Times New Roman" w:ascii="Times New Roman" w:hAnsi="Times New Roman"/>
          <w:sz w:val="24"/>
          <w:u w:val="single"/>
        </w:rPr>
        <w:t>Customer Rebate.</w:t>
      </w:r>
      <w:r>
        <w:rPr>
          <w:rFonts w:cs="Times New Roman" w:ascii="Times New Roman" w:hAnsi="Times New Roman"/>
          <w:sz w:val="24"/>
        </w:rPr>
        <w:t xml:space="preserve">  Under the terms of the No. 21 Schedule, ECS will have the opportunity to avoid certain coincidental peak demand charges.  Customer shall receive a quarterly rebate during the Contract Year based on Customer curtailment of Shaft Energy required for the Compressor which results in the actual avoidance of those coincidental peak demand charges  as billed by CDEC.  Such rebate shall be calculated in accordance with </w:t>
      </w:r>
      <w:r>
        <w:rPr>
          <w:rFonts w:cs="Times New Roman" w:ascii="Times New Roman" w:hAnsi="Times New Roman"/>
          <w:sz w:val="24"/>
          <w:u w:val="single"/>
        </w:rPr>
        <w:t>Exhibit "C"</w:t>
      </w:r>
      <w:r>
        <w:rPr>
          <w:rFonts w:cs="Times New Roman" w:ascii="Times New Roman" w:hAnsi="Times New Roman"/>
          <w:sz w:val="24"/>
        </w:rPr>
        <w:t xml:space="preserve"> hereto.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Demand Charge.</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Customer shall pay each invoice for the Annual Demand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(c)</w:t>
        <w:tab/>
        <w:t xml:space="preserve">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"Past Due Rate");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The Parties acknowledge that the terms and conditions of this Agreement are based upon ECS receiving electric energy service from CDEC under CDEC's proposed Class A Firm Power Rate Schedule No. 21 for Large Industrial Transmission Service (the "</w:t>
      </w:r>
      <w:r>
        <w:rPr>
          <w:rFonts w:cs="Times New Roman" w:ascii="Times New Roman" w:hAnsi="Times New Roman"/>
          <w:sz w:val="24"/>
          <w:u w:val="single"/>
        </w:rPr>
        <w:t>No. 21 Schedule</w:t>
      </w:r>
      <w:r>
        <w:rPr>
          <w:rFonts w:cs="Times New Roman" w:ascii="Times New Roman" w:hAnsi="Times New Roman"/>
          <w:sz w:val="24"/>
        </w:rPr>
        <w:t>").  If by February 15, 2000, the No. 21 Schedule is not available to ECS or the terms and conditions of the No. 21 Schedule, as it currently is proposed, have been materially changed, Customer may choose one of the following two options:</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$______________ and ECS will provide Compression Services to Customer in accordance with the terms and conditions of this Agreement;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avoidable peak coincidental demand charges under the No. 21 Schedule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 UTILIZATION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 xml:space="preserve">If prior to the last day of the 5th Contract Year, Customer is unable to re-subscribe the capacity on the Pipeline at levels such that the Compressor and Compressor Motor are no longer utilized, Customer may terminate this Agreement in accordance with Section 9.2 of this Agreement, with sixty days written notice to ECS prior to the last day of the 5th Contract Year.  </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rPr/>
      </w:pPr>
      <w:r>
        <w:rPr>
          <w:rFonts w:cs="Times New Roman" w:ascii="Times New Roman" w:hAnsi="Times New Roman"/>
          <w:sz w:val="24"/>
        </w:rPr>
        <w:t>9.2.</w:t>
        <w:tab/>
      </w:r>
      <w:r>
        <w:rPr>
          <w:rFonts w:cs="Times New Roman" w:ascii="Times New Roman" w:hAnsi="Times New Roman"/>
          <w:sz w:val="24"/>
          <w:u w:val="single"/>
        </w:rPr>
        <w:t>Early Termination</w:t>
      </w:r>
      <w:r>
        <w:rPr>
          <w:rFonts w:cs="Times New Roman" w:ascii="Times New Roman" w:hAnsi="Times New Roman"/>
          <w:sz w:val="24"/>
        </w:rPr>
        <w:t>.</w:t>
      </w:r>
    </w:p>
    <w:p>
      <w:pPr>
        <w:pStyle w:val="Normal"/>
        <w:tabs>
          <w:tab w:val="clear" w:pos="720"/>
          <w:tab w:val="left" w:pos="1440" w:leader="none"/>
          <w:tab w:val="left" w:pos="2016" w:leader="none"/>
        </w:tabs>
        <w:rPr>
          <w:rFonts w:ascii="Times New Roman" w:hAnsi="Times New Roman" w:cs="Times New Roman"/>
          <w:sz w:val="24"/>
        </w:rPr>
      </w:pPr>
      <w:r>
        <w:rPr>
          <w:rFonts w:cs="Times New Roman" w:ascii="Times New Roman" w:hAnsi="Times New Roman"/>
          <w:sz w:val="24"/>
        </w:rPr>
      </w:r>
    </w:p>
    <w:p>
      <w:pPr>
        <w:pStyle w:val="BodyTextIndent2"/>
        <w:tabs>
          <w:tab w:val="clear" w:pos="720"/>
          <w:tab w:val="clear" w:pos="1440"/>
        </w:tabs>
        <w:rPr/>
      </w:pPr>
      <w:r>
        <w:rPr/>
        <w:t>(a)</w:t>
        <w:tab/>
        <w:t xml:space="preserve">In addition to the termination provisions contained in Article 10 of this Agreement Customer may, upon not less than sixty (60) days' written notice to ECS, terminate this Agreement as set forth in Article 7.  In the event of such a termination related to Article 7 or pursuant to Article 10 hereof as a result of Customer's default hereunder, Customer shall pay to ECS, on the effective date of termination, a lump sum payment as set forth in the termination schedule as more specifically set forth in </w:t>
      </w:r>
      <w:r>
        <w:rPr>
          <w:u w:val="single"/>
        </w:rPr>
        <w:t>Exhibit "D"</w:t>
      </w:r>
      <w:r>
        <w:rPr/>
        <w:t xml:space="preserve"> hereto</w:t>
      </w:r>
      <w:r>
        <w:rPr>
          <w:b/>
        </w:rPr>
        <w:t>. [This payment will payoff capital cost for transmission line and Interconnection Facilities]</w:t>
      </w:r>
    </w:p>
    <w:p>
      <w:pPr>
        <w:pStyle w:val="Normal"/>
        <w:tabs>
          <w:tab w:val="clear" w:pos="720"/>
          <w:tab w:val="left" w:pos="1296" w:leader="none"/>
        </w:tabs>
        <w:jc w:val="both"/>
        <w:rPr>
          <w:rFonts w:ascii="Times New Roman" w:hAnsi="Times New Roman" w:cs="Times New Roman"/>
          <w:b/>
          <w:sz w:val="24"/>
        </w:rPr>
      </w:pPr>
      <w:r>
        <w:rPr>
          <w:rFonts w:cs="Times New Roman" w:ascii="Times New Roman" w:hAnsi="Times New Roman"/>
          <w:b/>
          <w:sz w:val="24"/>
        </w:rPr>
      </w:r>
    </w:p>
    <w:p>
      <w:pPr>
        <w:pStyle w:val="BodyTextIndent2"/>
        <w:tabs>
          <w:tab w:val="clear" w:pos="1440"/>
          <w:tab w:val="left" w:pos="720" w:leader="none"/>
        </w:tabs>
        <w:rPr/>
      </w:pPr>
      <w:r>
        <w:rPr/>
        <w:t>(b)</w:t>
        <w:tab/>
        <w:t xml:space="preserve">In the event of a termination of this Agreement pursuant to Section 9.2(a), then (i) from and after the date of such termination through the end of the Term, Customer shall deliver Fuel Gas to ECS each month in an amount equal the Minimum Compression Services Charge for such month and (ii) ECS shall pay Customer for such Fuel Gas at a price as set forth on </w:t>
      </w:r>
      <w:r>
        <w:rPr>
          <w:u w:val="single"/>
        </w:rPr>
        <w:t>Exhibit "E"</w:t>
      </w:r>
      <w:r>
        <w:rPr/>
        <w:t xml:space="preserve"> hereto. </w:t>
      </w:r>
      <w:r>
        <w:rPr>
          <w:b/>
        </w:rPr>
        <w:t>[Price to include offset for avoided electric energy charges]</w:t>
      </w:r>
      <w:r>
        <w:rPr/>
        <w:t xml:space="preserve">  Deliveries of Fuel Gas shall be in equal daily installments at the delivery point specified in Section 3.5 hereof.  Payments by ECS shall be paid within ten (10) days after receipt of an invoice from Customer for such Fuel Gas.  Notwithstanding any other provision of this Agreement, this Section 9.2(b) shall survive the termination of this Agreement.</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may assign to Customer, and Customer shall assume, all of ECS's rights and obligations under the electric energy supply agreement between ECS and CDEC or the Utility;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12.5),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12.5;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12.3,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10.4.</w:t>
        <w:tab/>
      </w:r>
      <w:r>
        <w:rPr>
          <w:rFonts w:cs="Times New Roman" w:ascii="Times New Roman" w:hAnsi="Times New Roman"/>
          <w:sz w:val="24"/>
          <w:u w:val="single"/>
        </w:rPr>
        <w:t>Limitation of Remedies, Liability and Damages</w:t>
      </w:r>
      <w:r>
        <w:rPr>
          <w:rFonts w:cs="Times New Roman" w:ascii="Times New Roman" w:hAnsi="Times New Roman"/>
          <w:sz w:val="24"/>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12</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b/>
          <w:sz w:val="24"/>
        </w:rPr>
        <w:t>Matters concerning Section 3.4</w:t>
      </w:r>
    </w:p>
    <w:p>
      <w:pPr>
        <w:pStyle w:val="Normal"/>
        <w:tabs>
          <w:tab w:val="clear" w:pos="720"/>
          <w:tab w:val="left" w:pos="2880" w:leader="none"/>
        </w:tabs>
        <w:jc w:val="center"/>
        <w:rPr>
          <w:rFonts w:ascii="Times New Roman" w:hAnsi="Times New Roman" w:cs="Times New Roman"/>
          <w:sz w:val="24"/>
        </w:rPr>
      </w:pPr>
      <w:r>
        <w:rPr>
          <w:rFonts w:cs="Times New Roman" w:ascii="Times New Roman" w:hAnsi="Times New Roman"/>
          <w:b/>
          <w:sz w:val="24"/>
        </w:rPr>
        <w:t>Copy to:</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West Trading Desk</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12.5.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b/>
        </w:rPr>
      </w:pPr>
      <w:r>
        <w:rPr>
          <w:b/>
        </w:rPr>
        <w:t>SCHEDULE I</w:t>
      </w:r>
    </w:p>
    <w:p>
      <w:pPr>
        <w:pStyle w:val="WW-BodyText21"/>
        <w:jc w:val="center"/>
        <w:rPr>
          <w:b/>
        </w:rPr>
      </w:pPr>
      <w:r>
        <w:rPr>
          <w:b/>
        </w:rPr>
      </w:r>
    </w:p>
    <w:p>
      <w:pPr>
        <w:pStyle w:val="WW-BodyText21"/>
        <w:jc w:val="center"/>
        <w:rPr>
          <w:b/>
        </w:rPr>
      </w:pPr>
      <w:r>
        <w:rPr>
          <w:b/>
        </w:rPr>
      </w:r>
    </w:p>
    <w:p>
      <w:pPr>
        <w:pStyle w:val="WW-BodyText21"/>
        <w:jc w:val="center"/>
        <w:rPr>
          <w:b/>
        </w:rPr>
      </w:pPr>
      <w:r>
        <w:rPr>
          <w:b/>
        </w:rPr>
        <w:t xml:space="preserve">COMPRESSION SERVICES CHARGE </w:t>
      </w:r>
    </w:p>
    <w:p>
      <w:pPr>
        <w:pStyle w:val="WW-BodyText21"/>
        <w:jc w:val="center"/>
        <w:rPr>
          <w:b/>
        </w:rPr>
      </w:pPr>
      <w:r>
        <w:rPr>
          <w:b/>
        </w:rPr>
        <w:t>DELIVERY POINTS</w:t>
      </w:r>
    </w:p>
    <w:p>
      <w:pPr>
        <w:pStyle w:val="WW-BodyText21"/>
        <w:jc w:val="center"/>
        <w:rPr>
          <w:b/>
        </w:rPr>
      </w:pPr>
      <w:r>
        <w:rPr>
          <w:b/>
        </w:rPr>
      </w:r>
    </w:p>
    <w:p>
      <w:pPr>
        <w:pStyle w:val="WW-BodyText21"/>
        <w:rPr/>
      </w:pPr>
      <w:r>
        <w:rPr/>
        <w:tab/>
      </w:r>
    </w:p>
    <w:p>
      <w:pPr>
        <w:pStyle w:val="WW-BodyText21"/>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WW-BodyText21"/>
        <w:jc w:val="start"/>
        <w:rPr/>
      </w:pPr>
      <w:r>
        <w:rPr/>
      </w:r>
    </w:p>
    <w:p>
      <w:pPr>
        <w:pStyle w:val="WW-BodyText21"/>
        <w:jc w:val="start"/>
        <w:rPr/>
      </w:pPr>
      <w:r>
        <w:rPr/>
        <w:tab/>
        <w:tab/>
        <w:tab/>
        <w:tab/>
      </w:r>
      <w:r>
        <w:rPr>
          <w:u w:val="single"/>
        </w:rPr>
        <w:t>Receipt  ( Customer POI#)</w:t>
      </w:r>
      <w:r>
        <w:rPr/>
        <w:tab/>
      </w:r>
    </w:p>
    <w:p>
      <w:pPr>
        <w:pStyle w:val="WW-BodyText21"/>
        <w:jc w:val="start"/>
        <w:rPr/>
      </w:pPr>
      <w:r>
        <w:rPr/>
        <w:t>West Texas Pool</w:t>
        <w:tab/>
        <w:tab/>
        <w:t>58646</w:t>
        <w:tab/>
        <w:tab/>
        <w:tab/>
      </w:r>
      <w:r>
        <w:br w:type="page"/>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ANNUAL DEMAND CHARGES</w:t>
      </w:r>
    </w:p>
    <w:p>
      <w:pPr>
        <w:pStyle w:val="WW-BodyText21"/>
        <w:jc w:val="center"/>
        <w:rPr>
          <w:b/>
        </w:rPr>
      </w:pPr>
      <w:r>
        <w:rPr>
          <w:b/>
        </w:rPr>
      </w:r>
    </w:p>
    <w:p>
      <w:pPr>
        <w:pStyle w:val="WW-BodyText21"/>
        <w:jc w:val="center"/>
        <w:rPr>
          <w:b/>
        </w:rPr>
      </w:pPr>
      <w:r>
        <w:rPr>
          <w:b/>
        </w:rPr>
      </w:r>
    </w:p>
    <w:p>
      <w:pPr>
        <w:pStyle w:val="Normal"/>
        <w:tabs>
          <w:tab w:val="left" w:pos="720" w:leader="none"/>
        </w:tabs>
        <w:ind w:end="-1440"/>
        <w:rPr/>
      </w:pPr>
      <w:r>
        <w:rPr>
          <w:rFonts w:cs="Times New Roman" w:ascii="Times New Roman" w:hAnsi="Times New Roman"/>
          <w:b/>
          <w:sz w:val="24"/>
        </w:rPr>
        <w:tab/>
        <w:tab/>
        <w:tab/>
      </w:r>
      <w:r>
        <w:rPr>
          <w:rFonts w:cs="Times New Roman" w:ascii="Times New Roman" w:hAnsi="Times New Roman"/>
          <w:sz w:val="24"/>
          <w:u w:val="single"/>
        </w:rPr>
        <w:t>Contract Year</w:t>
      </w:r>
      <w:r>
        <w:rPr>
          <w:rFonts w:cs="Times New Roman" w:ascii="Times New Roman" w:hAnsi="Times New Roman"/>
          <w:sz w:val="24"/>
        </w:rPr>
        <w:tab/>
        <w:tab/>
        <w:tab/>
        <w:tab/>
        <w:tab/>
      </w:r>
      <w:r>
        <w:rPr>
          <w:rFonts w:cs="Times New Roman" w:ascii="Times New Roman" w:hAnsi="Times New Roman"/>
          <w:sz w:val="24"/>
          <w:u w:val="single"/>
        </w:rPr>
        <w:t>Annual Demand Charge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1</w:t>
        <w:tab/>
        <w:tab/>
        <w:tab/>
        <w:tab/>
        <w:tab/>
        <w:tab/>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2</w:t>
        <w:tab/>
        <w:tab/>
        <w:tab/>
        <w:tab/>
        <w:tab/>
        <w:tab/>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3</w:t>
        <w:tab/>
        <w:tab/>
        <w:tab/>
        <w:tab/>
        <w:tab/>
        <w:tab/>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4</w:t>
        <w:tab/>
        <w:tab/>
        <w:tab/>
        <w:tab/>
        <w:tab/>
        <w:tab/>
        <w:t xml:space="preserv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5</w:t>
        <w:tab/>
        <w:tab/>
        <w:tab/>
        <w:tab/>
        <w:tab/>
        <w:tab/>
        <w:t xml:space="preserv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6</w:t>
        <w:tab/>
        <w:tab/>
        <w:tab/>
        <w:tab/>
        <w:tab/>
        <w:tab/>
        <w:t xml:space="preserv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7</w:t>
        <w:tab/>
        <w:tab/>
        <w:tab/>
        <w:tab/>
        <w:tab/>
        <w:tab/>
        <w:t xml:space="preserv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8</w:t>
        <w:tab/>
        <w:tab/>
        <w:tab/>
        <w:tab/>
        <w:tab/>
        <w:tab/>
        <w:t xml:space="preserv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9</w:t>
        <w:tab/>
        <w:tab/>
        <w:tab/>
        <w:tab/>
        <w:tab/>
        <w:tab/>
        <w:t xml:space="preserv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10</w:t>
        <w:tab/>
        <w:tab/>
        <w:tab/>
        <w:tab/>
        <w:tab/>
        <w:tab/>
        <w:t xml:space="preserve"> </w:t>
      </w:r>
    </w:p>
    <w:p>
      <w:pPr>
        <w:pStyle w:val="WW-BodyText21"/>
        <w:jc w:val="center"/>
        <w:rPr>
          <w:rFonts w:ascii="Times New Roman" w:hAnsi="Times New Roman" w:cs="Times New Roman"/>
          <w:b/>
          <w:sz w:val="24"/>
        </w:rPr>
      </w:pPr>
      <w:r>
        <w:rPr>
          <w:rFonts w:cs="Times New Roman"/>
          <w:b/>
          <w:sz w:val="24"/>
        </w:rPr>
      </w:r>
    </w:p>
    <w:p>
      <w:pPr>
        <w:pStyle w:val="WW-BodyText21"/>
        <w:jc w:val="end"/>
        <w:rPr>
          <w:b/>
        </w:rPr>
      </w:pPr>
      <w:r>
        <w:rPr>
          <w:b/>
        </w:rPr>
      </w:r>
    </w:p>
    <w:p>
      <w:pPr>
        <w:pStyle w:val="WW-BodyText21"/>
        <w:jc w:val="end"/>
        <w:rPr>
          <w:b/>
        </w:rPr>
      </w:pPr>
      <w:r>
        <w:rPr>
          <w:b/>
        </w:rPr>
      </w:r>
    </w:p>
    <w:p>
      <w:pPr>
        <w:pStyle w:val="WW-BodyText21"/>
        <w:jc w:val="end"/>
        <w:rPr>
          <w:b/>
        </w:rPr>
      </w:pPr>
      <w:r>
        <w:rPr>
          <w:b/>
        </w:rPr>
      </w:r>
      <w:r>
        <w:br w:type="page"/>
      </w:r>
    </w:p>
    <w:p>
      <w:pPr>
        <w:pStyle w:val="WW-BodyText21"/>
        <w:ind w:hanging="0" w:end="0"/>
        <w:jc w:val="center"/>
        <w:rPr>
          <w:b/>
        </w:rPr>
      </w:pPr>
      <w:r>
        <w:rPr>
          <w:b/>
        </w:rPr>
        <w:t>Exhibit B</w:t>
      </w:r>
    </w:p>
    <w:p>
      <w:pPr>
        <w:pStyle w:val="WW-BodyText21"/>
        <w:jc w:val="center"/>
        <w:rPr>
          <w:b/>
        </w:rPr>
      </w:pPr>
      <w:r>
        <w:rPr>
          <w:b/>
        </w:rPr>
      </w:r>
    </w:p>
    <w:p>
      <w:pPr>
        <w:pStyle w:val="BodyTextIndent"/>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u w:val="single"/>
                <w:lang w:eastAsia="en-US"/>
              </w:rPr>
            </w:pPr>
            <w:r>
              <w:rPr>
                <w:rFonts w:cs="Arial" w:ascii="Arial" w:hAnsi="Arial"/>
                <w:color w:val="00000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u w:val="single"/>
                <w:lang w:eastAsia="en-US"/>
              </w:rPr>
            </w:pPr>
            <w:r>
              <w:rPr>
                <w:rFonts w:cs="Arial" w:ascii="Arial" w:hAnsi="Arial"/>
                <w:color w:val="000000"/>
                <w:u w:val="single"/>
                <w:lang w:eastAsia="en-US"/>
              </w:rPr>
              <w:t>Conversion Factor</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u w:val="single"/>
                <w:lang w:eastAsia="en-US"/>
              </w:rPr>
            </w:pPr>
            <w:r>
              <w:rPr>
                <w:rFonts w:cs="Arial" w:ascii="Arial" w:hAnsi="Arial"/>
                <w:color w:val="000000"/>
                <w:u w:val="single"/>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ind w:start="-249" w:end="0"/>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Normal"/>
        <w:rPr>
          <w:rFonts w:ascii="Times New Roman" w:hAnsi="Times New Roman" w:cs="Times New Roman"/>
          <w:sz w:val="24"/>
        </w:rPr>
      </w:pPr>
      <w:r>
        <w:rPr>
          <w:rFonts w:cs="Times New Roman" w:ascii="Times New Roman" w:hAnsi="Times New Roman"/>
          <w:sz w:val="24"/>
        </w:rPr>
      </w:r>
    </w:p>
    <w:p>
      <w:pPr>
        <w:pStyle w:val="WW-BodyText21"/>
        <w:jc w:val="center"/>
        <w:rPr>
          <w:b/>
        </w:rPr>
      </w:pPr>
      <w:r>
        <w:rPr>
          <w:b/>
        </w:rPr>
        <w:t>Exhibit C</w:t>
      </w:r>
    </w:p>
    <w:p>
      <w:pPr>
        <w:pStyle w:val="WW-BodyText21"/>
        <w:jc w:val="center"/>
        <w:rPr>
          <w:b/>
        </w:rPr>
      </w:pPr>
      <w:r>
        <w:rPr>
          <w:b/>
        </w:rPr>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rPr>
      </w:pPr>
      <w:r>
        <w:rPr>
          <w:rFonts w:cs="Times New Roman" w:ascii="Times New Roman" w:hAnsi="Times New Roman"/>
          <w:b/>
          <w:u w:val="single"/>
        </w:rPr>
        <w:t>Peak Demand Rebate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Peak Demand Rebate = [(Billing Demand Basis) – (Actual Demand Charges)]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pPr>
      <w:r>
        <w:rPr>
          <w:rFonts w:cs="Times New Roman" w:ascii="Times New Roman" w:hAnsi="Times New Roman"/>
          <w:i/>
        </w:rPr>
        <w:t xml:space="preserve">       </w:t>
      </w:r>
      <w:r>
        <w:rPr>
          <w:rFonts w:cs="Times New Roman" w:ascii="Times New Roman" w:hAnsi="Times New Roman"/>
          <w:i/>
          <w:sz w:val="22"/>
        </w:rPr>
        <w:t>Actual Demand Charges = [(Coincidental Demand) + (Transmission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rPr>
      </w:pPr>
      <w:r>
        <w:rPr>
          <w:rFonts w:cs="Times New Roman" w:ascii="Times New Roman" w:hAnsi="Times New Roman"/>
        </w:rPr>
        <w:t>Subtracted from the Peak Demand Rebate will be the following items: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z w:val="22"/>
        </w:rPr>
      </w:pPr>
      <w:r>
        <w:rPr>
          <w:rFonts w:cs="Times New Roman" w:ascii="Times New Roman" w:hAnsi="Times New Roman"/>
          <w:sz w:val="22"/>
        </w:rPr>
        <w:t>1.  The Minimum Energy Reversal reduces the rebate amount to account for minimum energy payments required by the utility on a monthly basis.  Load Factors below 51% or 2,920,000 kWh in a given month will require this reversal and reduce the Peak Demand Rebate by the following amount: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 xml:space="preserve"> Minimum Energy Reversal = [(Energy Charge) x (2,920,000 kWh – Actual kWh)]</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2.  The Minimum Transmission Reversal also reduces the rebate amount to account for minimum demand charges required by the utility on a monthly basis.  Load Factors below 26% or 1,488,000 kWh in a given month will require this reversal to reduce the Peak Demand Rebate utilizing the formula: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Minimum Trans. Reversal = [(Trans. Demand Charge) x (5,000 kW – Actual Peak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3.  Low Load Factor Reversal is calculated when the Load Factor of the unit is less than 25% for a given month.  Assuming this criteria the gas revenues are insufficient to cover the cost of electric service and would then reduce the Demand Rebate.  The Low Load Factor Rebate will be:</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ind w:hanging="2790" w:start="2880" w:end="0"/>
        <w:rPr>
          <w:i/>
          <w:i/>
          <w:sz w:val="22"/>
        </w:rPr>
      </w:pPr>
      <w:r>
        <w:rPr>
          <w:i/>
          <w:sz w:val="22"/>
        </w:rPr>
        <w:tab/>
        <w:t>Low Load Factor Reversal = [(Actual Cost of Electricity) – ($100,904 x Load Factor %)                                                               - (demand rebates)] + [(% of Rated Peak x $18,459)]</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b/>
          <w:sz w:val="22"/>
          <w:u w:val="single"/>
        </w:rPr>
      </w:pPr>
      <w:r>
        <w:rPr>
          <w:rFonts w:cs="Times New Roman" w:ascii="Times New Roman" w:hAnsi="Times New Roman"/>
          <w:b/>
          <w:sz w:val="22"/>
          <w:u w:val="single"/>
        </w:rPr>
        <w:t>Total Peak Demand Rebate</w:t>
      </w:r>
    </w:p>
    <w:p>
      <w:pPr>
        <w:pStyle w:val="Normal"/>
        <w:jc w:val="both"/>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sz w:val="22"/>
        </w:rPr>
      </w:pPr>
      <w:r>
        <w:rPr>
          <w:rFonts w:cs="Times New Roman" w:ascii="Times New Roman" w:hAnsi="Times New Roman"/>
          <w:sz w:val="22"/>
        </w:rPr>
        <w:t>The Peak Demand Rebate would then be determined as the difference between the Peak Demand, the Minimum Energy Reversal and the Minimum Transmission Reversal on a monthly basis: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710" w:start="1710" w:end="0"/>
        <w:jc w:val="both"/>
        <w:rPr/>
      </w:pPr>
      <w:r>
        <w:rPr>
          <w:rFonts w:cs="Times New Roman" w:ascii="Times New Roman" w:hAnsi="Times New Roman"/>
          <w:i/>
          <w:sz w:val="22"/>
        </w:rPr>
        <w:t xml:space="preserve"> </w:t>
      </w:r>
      <w:r>
        <w:rPr>
          <w:rFonts w:cs="Times New Roman" w:ascii="Times New Roman" w:hAnsi="Times New Roman"/>
          <w:b/>
          <w:i/>
          <w:sz w:val="22"/>
        </w:rPr>
        <w:t>Total Peak Demand Rebate</w:t>
      </w:r>
      <w:r>
        <w:rPr>
          <w:rFonts w:cs="Times New Roman" w:ascii="Times New Roman" w:hAnsi="Times New Roman"/>
          <w:i/>
          <w:sz w:val="22"/>
        </w:rPr>
        <w:t xml:space="preserve"> = [(Peak Demand Rebate) – (Minimum Energy Reversal) – (Minimum Trans. Reversal</w:t>
      </w:r>
      <w:r>
        <w:rPr>
          <w:rFonts w:cs="Times New Roman" w:ascii="Times New Roman" w:hAnsi="Times New Roman"/>
          <w:sz w:val="22"/>
        </w:rPr>
        <w:t>) – (</w:t>
      </w:r>
      <w:r>
        <w:rPr>
          <w:rFonts w:cs="Times New Roman" w:ascii="Times New Roman" w:hAnsi="Times New Roman"/>
          <w:i/>
          <w:sz w:val="22"/>
        </w:rPr>
        <w:t>Low Load Factor Reversal</w:t>
      </w:r>
      <w:r>
        <w:rPr>
          <w:rFonts w:cs="Times New Roman" w:ascii="Times New Roman" w:hAnsi="Times New Roman"/>
          <w:sz w:val="22"/>
        </w:rPr>
        <w:t>)]</w:t>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ascii="Times New Roman" w:hAnsi="Times New Roman"/>
          <w:sz w:val="24"/>
        </w:rPr>
      </w:r>
    </w:p>
    <w:p>
      <w:pPr>
        <w:pStyle w:val="WW-BodyText21"/>
        <w:jc w:val="center"/>
        <w:rPr>
          <w:b/>
        </w:rPr>
      </w:pPr>
      <w:r>
        <w:rPr>
          <w:b/>
        </w:rPr>
        <w:t>Exhibit D</w:t>
      </w:r>
    </w:p>
    <w:p>
      <w:pPr>
        <w:pStyle w:val="WW-BodyText21"/>
        <w:jc w:val="center"/>
        <w:rPr>
          <w:b/>
        </w:rPr>
      </w:pPr>
      <w:r>
        <w:rPr>
          <w:b/>
        </w:rPr>
      </w:r>
    </w:p>
    <w:p>
      <w:pPr>
        <w:pStyle w:val="WW-BodyText21"/>
        <w:ind w:hanging="0" w:start="720" w:end="0"/>
        <w:jc w:val="center"/>
        <w:rPr>
          <w:b/>
        </w:rPr>
      </w:pPr>
      <w:r>
        <w:rPr>
          <w:b/>
        </w:rPr>
        <w:t>TERMINATION PAYMENT SCHEDULE</w:t>
      </w:r>
      <w:r>
        <w:br w:type="page"/>
      </w:r>
    </w:p>
    <w:p>
      <w:pPr>
        <w:pStyle w:val="WW-BodyText21"/>
        <w:jc w:val="center"/>
        <w:rPr>
          <w:b/>
        </w:rPr>
      </w:pPr>
      <w:r>
        <w:rPr>
          <w:b/>
        </w:rPr>
        <w:t>Exhibit E</w:t>
      </w:r>
    </w:p>
    <w:p>
      <w:pPr>
        <w:pStyle w:val="WW-BodyText21"/>
        <w:jc w:val="center"/>
        <w:rPr>
          <w:b/>
        </w:rPr>
      </w:pPr>
      <w:r>
        <w:rPr>
          <w:b/>
        </w:rPr>
      </w:r>
    </w:p>
    <w:p>
      <w:pPr>
        <w:pStyle w:val="Normal"/>
        <w:ind w:firstLine="720" w:end="0"/>
        <w:jc w:val="center"/>
        <w:rPr>
          <w:rFonts w:ascii="Times New Roman" w:hAnsi="Times New Roman" w:cs="Times New Roman"/>
          <w:b/>
          <w:sz w:val="24"/>
        </w:rPr>
      </w:pPr>
      <w:r>
        <w:rPr>
          <w:rFonts w:cs="Times New Roman" w:ascii="Times New Roman" w:hAnsi="Times New Roman"/>
          <w:b/>
          <w:sz w:val="24"/>
        </w:rPr>
        <w:t>GAS PRICE SCHEDULE</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sscott\2ndqtr99\bisti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21</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1999-09-07T12:51:00Z</dcterms:created>
  <dc:creator>ET&amp;S LAN Support</dc:creator>
  <dc:description/>
  <dc:language>en-CA</dc:language>
  <cp:lastModifiedBy>gnemec</cp:lastModifiedBy>
  <cp:lastPrinted>1999-09-09T14:36:00Z</cp:lastPrinted>
  <dcterms:modified xsi:type="dcterms:W3CDTF">1999-09-09T17:56:00Z</dcterms:modified>
  <cp:revision>80</cp:revision>
  <dc:subject/>
  <dc:title>COMPRESSION SERVICES AGREEMENT</dc:title>
</cp:coreProperties>
</file>