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 xml:space="preserve">Transwestern – Gallup Compressor Station </w:t>
      </w:r>
    </w:p>
    <w:p>
      <w:pPr>
        <w:pStyle w:val="Heading2"/>
        <w:ind w:hanging="0" w:start="0"/>
        <w:rPr>
          <w:sz w:val="24"/>
        </w:rPr>
      </w:pPr>
      <w:r>
        <w:rPr>
          <w:sz w:val="24"/>
        </w:rPr>
      </w:r>
    </w:p>
    <w:p>
      <w:pPr>
        <w:pStyle w:val="Heading2"/>
        <w:ind w:hanging="0" w:start="0"/>
        <w:rPr>
          <w:sz w:val="24"/>
        </w:rPr>
      </w:pPr>
      <w:r>
        <w:rPr>
          <w:sz w:val="24"/>
        </w:rPr>
        <w:t>Term Sheet Proposal</w:t>
      </w:r>
    </w:p>
    <w:p>
      <w:pPr>
        <w:pStyle w:val="Heading7"/>
        <w:ind w:hanging="0" w:start="0"/>
        <w:rPr/>
      </w:pPr>
      <w:r>
        <w:rPr/>
        <w:t>September 1999</w:t>
      </w:r>
    </w:p>
    <w:p>
      <w:pPr>
        <w:pStyle w:val="Heading9"/>
        <w:ind w:hanging="0" w:start="0"/>
        <w:rPr>
          <w:u w:val="single"/>
        </w:rPr>
      </w:pPr>
      <w:r>
        <w:rPr>
          <w:u w:val="single"/>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sz w:val="22"/>
        </w:rPr>
      </w:pPr>
      <w:r>
        <w:rPr>
          <w:sz w:val="22"/>
        </w:rPr>
        <w:t xml:space="preserve">Enron Compression Services Company (“ECS”) is pleased to submit the following term proposal to provide Shaft Horsepower for the Transwestern (“TW”) Gallup compressor station in New Mexico.  ECS is proposing to provide electrical power management and financial services that result in the rates described in these term sheets.  </w:t>
      </w:r>
    </w:p>
    <w:p>
      <w:pPr>
        <w:pStyle w:val="Normal"/>
        <w:jc w:val="both"/>
        <w:rPr>
          <w:sz w:val="22"/>
        </w:rPr>
      </w:pPr>
      <w:r>
        <w:rPr>
          <w:sz w:val="22"/>
        </w:rPr>
      </w:r>
    </w:p>
    <w:p>
      <w:pPr>
        <w:pStyle w:val="Normal"/>
        <w:jc w:val="both"/>
        <w:rPr/>
      </w:pPr>
      <w:r>
        <w:rPr>
          <w:sz w:val="22"/>
        </w:rPr>
        <w:t>These terms assume that ECS will cover all electrical demand and energy charges in addition to the capital costs for the electrical drive train.  The electrical drive train includes: power transmission line, substation, variable frequency drive, electric motor with gearbox and coupler to connect to the compressor shaft as estimated by Enron Engineering &amp; Construction Company (“EE&amp;CC”) for TW.  Actual costs will adjust the final terms for the structured contract.</w:t>
      </w:r>
      <w:r>
        <w:rPr>
          <w:color w:val="0000FF"/>
          <w:sz w:val="22"/>
        </w:rPr>
        <w:t xml:space="preserve">  </w:t>
      </w:r>
    </w:p>
    <w:p>
      <w:pPr>
        <w:pStyle w:val="Normal"/>
        <w:jc w:val="both"/>
        <w:rPr>
          <w:color w:val="0000FF"/>
          <w:sz w:val="22"/>
        </w:rPr>
      </w:pPr>
      <w:r>
        <w:rPr>
          <w:color w:val="0000FF"/>
          <w:sz w:val="22"/>
        </w:rPr>
      </w:r>
    </w:p>
    <w:p>
      <w:pPr>
        <w:pStyle w:val="Normal"/>
        <w:jc w:val="both"/>
        <w:rPr>
          <w:sz w:val="22"/>
        </w:rPr>
      </w:pPr>
      <w:r>
        <w:rPr>
          <w:sz w:val="22"/>
        </w:rPr>
        <w:t>The services provided by ECS result in a cash payment and a two-part gas payment structure.  First is cash payment termed the “Annual Charge” which covers all the costs associated with the capital recovery.  The gas payment is divided into two parts.  First is the gas volume which takes into account all demand and energy costs for the first 25% utilization of the horsepower-hours.  The second gas payment results in a “Specified Rate” which is designed to cover all variable costs above the 25% utilization of horsepower-hours.</w:t>
      </w:r>
    </w:p>
    <w:p>
      <w:pPr>
        <w:pStyle w:val="Normal"/>
        <w:jc w:val="both"/>
        <w:rPr>
          <w:sz w:val="22"/>
        </w:rPr>
      </w:pPr>
      <w:r>
        <w:rPr>
          <w:sz w:val="22"/>
        </w:rPr>
      </w:r>
    </w:p>
    <w:p>
      <w:pPr>
        <w:pStyle w:val="Normal"/>
        <w:jc w:val="both"/>
        <w:rPr>
          <w:sz w:val="22"/>
        </w:rPr>
      </w:pPr>
      <w:r>
        <w:rPr>
          <w:sz w:val="22"/>
        </w:rPr>
        <w:t>As part of the capital investment for the station power train ECS proposes to provide the transmission line right-of-way, as well as cause the installation of the transmission line and substation.  ECS would assign the transmission line right-of-way to Plains Electric with assignment rights to Tri-State assuming, the success of the merger of these companies.  Plains Electric / Tri-State would own operate and maintain the power transmission line.  ECS would continue to own and provide third party operation of the substation and the electrical drive train.  TW would own the balance of the compressor station.</w:t>
      </w:r>
    </w:p>
    <w:p>
      <w:pPr>
        <w:pStyle w:val="Normal"/>
        <w:jc w:val="both"/>
        <w:rPr>
          <w:sz w:val="22"/>
        </w:rPr>
      </w:pPr>
      <w:r>
        <w:rPr>
          <w:sz w:val="22"/>
        </w:rPr>
      </w:r>
    </w:p>
    <w:p>
      <w:pPr>
        <w:pStyle w:val="Normal"/>
        <w:jc w:val="both"/>
        <w:rPr/>
      </w:pPr>
      <w:r>
        <w:rPr>
          <w:sz w:val="22"/>
        </w:rPr>
        <w:t>Prior to the merger, the electrical power will be supplied through an existing Continental Divide Electric Cooperative interruptible PRC Approved tariff No.19 that provides a twenty-minute notification prior to interruption or the existing tariff No. 4 that provides firm service for a rate premium.  Post the merger when Tri-State Generation and Transmission becomes the wholesale power supplier for Continental Divide Electric Cooperative, service should be available to CDEC under Tri-State’s Class A Firm Power Rate Schedule No. 21 for Large Industrial Transmission Service.  The terms provided in this package reflect the post merger rate schedule No. 21 that should be available prior to the</w:t>
      </w:r>
      <w:r>
        <w:rPr>
          <w:color w:val="0000FF"/>
          <w:sz w:val="22"/>
        </w:rPr>
        <w:t xml:space="preserve"> </w:t>
      </w:r>
      <w:r>
        <w:rPr>
          <w:color w:val="FF0000"/>
          <w:sz w:val="22"/>
        </w:rPr>
        <w:t>March 1, 2000</w:t>
      </w:r>
      <w:r>
        <w:rPr>
          <w:color w:val="0000FF"/>
          <w:sz w:val="22"/>
        </w:rPr>
        <w:t xml:space="preserve"> </w:t>
      </w:r>
      <w:r>
        <w:rPr>
          <w:sz w:val="22"/>
        </w:rPr>
        <w:t>in-service target for this Gallup compressor station.  If the rate schedule No. 21 is not available to ECS, the terms quoted in this proposal will not be applicable to Transwestern and an alternative rate schedule from ECS would be necessary.</w:t>
      </w:r>
    </w:p>
    <w:p>
      <w:pPr>
        <w:pStyle w:val="Normal"/>
        <w:jc w:val="both"/>
        <w:rPr>
          <w:sz w:val="22"/>
        </w:rPr>
      </w:pPr>
      <w:r>
        <w:rPr>
          <w:sz w:val="22"/>
        </w:rPr>
      </w:r>
    </w:p>
    <w:p>
      <w:pPr>
        <w:pStyle w:val="Normal"/>
        <w:jc w:val="both"/>
        <w:rPr/>
      </w:pPr>
      <w:r>
        <w:rPr>
          <w:sz w:val="22"/>
        </w:rPr>
        <w:t>ECS has initiated negotiations to develop terms with CDEC and Tri-State that would provide an opportunity to avoid coincidental demand charges.  ECS would provide the computer and related equipment designed to monitor the Tri-State load reporting system</w:t>
      </w:r>
      <w:r>
        <w:rPr>
          <w:color w:val="0000FF"/>
          <w:sz w:val="22"/>
        </w:rPr>
        <w:t xml:space="preserve">.  </w:t>
      </w:r>
      <w:r>
        <w:rPr>
          <w:i/>
          <w:color w:val="0000FF"/>
          <w:sz w:val="22"/>
        </w:rPr>
        <w:t>To the extent the technology is available or can be designed, the station will be configured to automatically turn off after providing a signal to TW indicating that Tri-State has reached a mutually agreeable benchmark of their projected peak system load for that period.  ECS will guarantee an annual notification performance of 75% that will provide TW with the opportunity to avoid demand charges once that option is made available by the utility.  TW would have the ability to override or reject the turn down notice based on pipeline and dispatching requirements for that time frame</w:t>
      </w:r>
      <w:r>
        <w:rPr>
          <w:sz w:val="22"/>
        </w:rPr>
        <w:t xml:space="preserve">.  ECS has defined the details of a rebate mechanism associated with the demand charge avoidance payable to TW.  Such terms as proposed by ECS are set forth in Attachment I hereto.  These demand charge savings will only be available through the rate schedule No. 21 for Large Industrial Transmission Service. </w:t>
      </w:r>
    </w:p>
    <w:p>
      <w:pPr>
        <w:pStyle w:val="Normal"/>
        <w:jc w:val="both"/>
        <w:rPr>
          <w:sz w:val="22"/>
        </w:rPr>
      </w:pPr>
      <w:r>
        <w:rPr>
          <w:sz w:val="22"/>
        </w:rPr>
      </w:r>
    </w:p>
    <w:p>
      <w:pPr>
        <w:pStyle w:val="Heading5"/>
        <w:ind w:hanging="0" w:start="0"/>
        <w:jc w:val="both"/>
        <w:rPr/>
      </w:pPr>
      <w:r>
        <w:rPr/>
        <w:t>Commercial Terms</w:t>
      </w:r>
    </w:p>
    <w:p>
      <w:pPr>
        <w:pStyle w:val="Normal"/>
        <w:jc w:val="both"/>
        <w:rPr>
          <w:sz w:val="22"/>
        </w:rPr>
      </w:pPr>
      <w:r>
        <w:rPr>
          <w:sz w:val="22"/>
        </w:rPr>
        <w:t xml:space="preserve">These terms reflect the utility rates that should be available from Continental Divide Electric Cooperative, Inc. through the Large Industrial Transmission Service Schedule - Original Rate No. 21 after the merger of Plains Energy and Tri-State Generation and Transmission Association, Inc. whereby Tri-State becomes the wholesale power supplier to Continental Divide Electric Cooperative, Inc..  The terms provided in this proposal reflect this Class A Firm Power Rate Schedule that is anticipated to be available post merger.  Should this rate schedule not available to ECS, the terms in this proposal would be revised.    </w:t>
      </w:r>
    </w:p>
    <w:p>
      <w:pPr>
        <w:pStyle w:val="Normal"/>
        <w:jc w:val="both"/>
        <w:rPr>
          <w:sz w:val="22"/>
        </w:rPr>
      </w:pPr>
      <w:r>
        <w:rPr>
          <w:sz w:val="22"/>
        </w:rPr>
      </w:r>
    </w:p>
    <w:p>
      <w:pPr>
        <w:pStyle w:val="Heading5"/>
        <w:ind w:hanging="0" w:start="0"/>
        <w:jc w:val="both"/>
        <w:rPr/>
      </w:pPr>
      <w:r>
        <w:rPr/>
        <w:t>Contract Term</w:t>
      </w:r>
    </w:p>
    <w:p>
      <w:pPr>
        <w:pStyle w:val="Normal"/>
        <w:jc w:val="both"/>
        <w:rPr/>
      </w:pPr>
      <w:r>
        <w:rPr>
          <w:sz w:val="22"/>
        </w:rPr>
        <w:t>The commercial terms of this proposal become effective on</w:t>
      </w:r>
      <w:r>
        <w:rPr>
          <w:color w:val="0000FF"/>
          <w:sz w:val="22"/>
        </w:rPr>
        <w:t xml:space="preserve"> </w:t>
      </w:r>
      <w:r>
        <w:rPr>
          <w:color w:val="FF0000"/>
          <w:sz w:val="22"/>
        </w:rPr>
        <w:t>March 1, 2000</w:t>
      </w:r>
      <w:r>
        <w:rPr>
          <w:color w:val="0000FF"/>
          <w:sz w:val="22"/>
        </w:rPr>
        <w:t xml:space="preserve"> </w:t>
      </w:r>
      <w:r>
        <w:rPr>
          <w:sz w:val="22"/>
        </w:rPr>
        <w:t xml:space="preserve">or upon the actual in-service date assuming it is mutually agreeable, and continue for a term of 10-years.  </w:t>
      </w:r>
    </w:p>
    <w:p>
      <w:pPr>
        <w:pStyle w:val="Normal"/>
        <w:jc w:val="both"/>
        <w:rPr>
          <w:sz w:val="22"/>
        </w:rPr>
      </w:pPr>
      <w:r>
        <w:rPr>
          <w:sz w:val="22"/>
        </w:rPr>
      </w:r>
    </w:p>
    <w:p>
      <w:pPr>
        <w:pStyle w:val="Heading5"/>
        <w:ind w:hanging="0" w:start="0"/>
        <w:jc w:val="both"/>
        <w:rPr/>
      </w:pPr>
      <w:r>
        <w:rPr/>
        <w:t>Ownership</w:t>
      </w:r>
    </w:p>
    <w:p>
      <w:pPr>
        <w:pStyle w:val="BodyText"/>
        <w:jc w:val="both"/>
        <w:rPr/>
      </w:pPr>
      <w:r>
        <w:rPr/>
        <w:t xml:space="preserve">ECS would provide the transmission line construction and rights-of-way into the station with ownership by Plains Electric / Tri-State Generation and Transmission.  ECS would construct and own the substation and balance of the electrical power train to the output shaft of the gearbox.  Transwestern would own the balance of the compressor station and provide ECS with surface site for the substation and the power train equipment.  </w:t>
      </w:r>
    </w:p>
    <w:p>
      <w:pPr>
        <w:pStyle w:val="BodyText"/>
        <w:jc w:val="both"/>
        <w:rPr/>
      </w:pPr>
      <w:r>
        <w:rPr/>
      </w:r>
    </w:p>
    <w:p>
      <w:pPr>
        <w:pStyle w:val="BodyText"/>
        <w:jc w:val="both"/>
        <w:rPr>
          <w:u w:val="single"/>
        </w:rPr>
      </w:pPr>
      <w:r>
        <w:rPr>
          <w:u w:val="single"/>
        </w:rPr>
        <w:t>Operation and Maintenance</w:t>
      </w:r>
    </w:p>
    <w:p>
      <w:pPr>
        <w:pStyle w:val="BodyText"/>
        <w:jc w:val="both"/>
        <w:rPr/>
      </w:pPr>
      <w:r>
        <w:rPr/>
        <w:t xml:space="preserve">Plains Electric / Tri-State will own, operate and maintain the transmission line into the station.  ECS would hire a mutually agreeable third party to be responsible for the operation and maintenance of the substation and electric power train at the station through to the output shaft of the gearbox.  Transwestern would be responsible for the operation and maintenance associated the balance of the station.  </w:t>
      </w:r>
    </w:p>
    <w:p>
      <w:pPr>
        <w:pStyle w:val="Heading5"/>
        <w:ind w:hanging="0" w:start="0"/>
        <w:jc w:val="both"/>
        <w:rPr/>
      </w:pPr>
      <w:r>
        <w:rPr/>
      </w:r>
    </w:p>
    <w:p>
      <w:pPr>
        <w:pStyle w:val="Heading5"/>
        <w:ind w:hanging="0" w:start="0"/>
        <w:jc w:val="both"/>
        <w:rPr/>
      </w:pPr>
      <w:r>
        <w:rPr/>
        <w:t>Delivery of Hp – Hours</w:t>
      </w:r>
    </w:p>
    <w:p>
      <w:pPr>
        <w:pStyle w:val="BodyText3"/>
        <w:rPr/>
      </w:pPr>
      <w:r>
        <w:rPr/>
        <w:t>The physical shaft between the electric motor (or gearbox if required) and the compressor will serve as the point of delivery of Hp – Hours.  Monthly Hp – Hours will be determined by measuring at the primary meter and then applying the following formula:</w:t>
      </w:r>
    </w:p>
    <w:p>
      <w:pPr>
        <w:pStyle w:val="Normal"/>
        <w:jc w:val="both"/>
        <w:rPr>
          <w:sz w:val="22"/>
        </w:rPr>
      </w:pPr>
      <w:r>
        <w:rPr>
          <w:sz w:val="22"/>
        </w:rPr>
      </w:r>
    </w:p>
    <w:p>
      <w:pPr>
        <w:pStyle w:val="Normal"/>
        <w:jc w:val="both"/>
        <w:rPr>
          <w:sz w:val="22"/>
        </w:rPr>
      </w:pPr>
      <w:r>
        <w:rPr>
          <w:sz w:val="22"/>
        </w:rPr>
        <w:tab/>
        <w:t>Total Monthly Kilowatts at the Primary Meter x 1.341 *</w:t>
      </w:r>
    </w:p>
    <w:p>
      <w:pPr>
        <w:pStyle w:val="Normal"/>
        <w:ind w:firstLine="720" w:end="0"/>
        <w:jc w:val="both"/>
        <w:rPr>
          <w:sz w:val="22"/>
        </w:rPr>
      </w:pPr>
      <w:r>
        <w:rPr>
          <w:sz w:val="22"/>
        </w:rPr>
        <w:t>* 1 Hp – Hour = 0.746 kilowatts  (1.341 Hp – Hour = 1 kilowatt)</w:t>
      </w:r>
    </w:p>
    <w:p>
      <w:pPr>
        <w:pStyle w:val="Normal"/>
        <w:jc w:val="both"/>
        <w:rPr>
          <w:sz w:val="22"/>
        </w:rPr>
      </w:pPr>
      <w:r>
        <w:rPr>
          <w:sz w:val="22"/>
        </w:rPr>
      </w:r>
    </w:p>
    <w:p>
      <w:pPr>
        <w:pStyle w:val="Heading5"/>
        <w:ind w:hanging="0" w:start="0"/>
        <w:jc w:val="both"/>
        <w:rPr/>
      </w:pPr>
      <w:r>
        <w:rPr/>
        <w:t>Annual Charge</w:t>
      </w:r>
    </w:p>
    <w:p>
      <w:pPr>
        <w:pStyle w:val="Normal"/>
        <w:jc w:val="both"/>
        <w:rPr/>
      </w:pPr>
      <w:r>
        <w:rPr>
          <w:sz w:val="22"/>
        </w:rPr>
        <w:t>ECS would receive</w:t>
      </w:r>
      <w:r>
        <w:rPr>
          <w:color w:val="0000FF"/>
          <w:sz w:val="22"/>
        </w:rPr>
        <w:t xml:space="preserve"> </w:t>
      </w:r>
      <w:r>
        <w:rPr>
          <w:color w:val="FF0000"/>
          <w:sz w:val="22"/>
        </w:rPr>
        <w:t>$512,745</w:t>
      </w:r>
      <w:r>
        <w:rPr>
          <w:color w:val="0000FF"/>
          <w:sz w:val="22"/>
        </w:rPr>
        <w:t xml:space="preserve"> </w:t>
      </w:r>
      <w:r>
        <w:rPr>
          <w:sz w:val="22"/>
        </w:rPr>
        <w:t>annually as a fixed charge for the contract term as a fixed charge for capital cost recovery over the contract term.</w:t>
      </w:r>
    </w:p>
    <w:p>
      <w:pPr>
        <w:pStyle w:val="Normal"/>
        <w:jc w:val="both"/>
        <w:rPr>
          <w:sz w:val="22"/>
        </w:rPr>
      </w:pPr>
      <w:r>
        <w:rPr>
          <w:sz w:val="22"/>
        </w:rPr>
      </w:r>
    </w:p>
    <w:p>
      <w:pPr>
        <w:pStyle w:val="Heading5"/>
        <w:ind w:hanging="0" w:start="0"/>
        <w:jc w:val="both"/>
        <w:rPr/>
      </w:pPr>
      <w:r>
        <w:rPr/>
        <w:t>Compression Service Charge</w:t>
      </w:r>
    </w:p>
    <w:p>
      <w:pPr>
        <w:pStyle w:val="Normal"/>
        <w:jc w:val="both"/>
        <w:rPr>
          <w:sz w:val="22"/>
        </w:rPr>
      </w:pPr>
      <w:r>
        <w:rPr>
          <w:sz w:val="22"/>
        </w:rPr>
        <w:t xml:space="preserve">Transwestern would deliver gas volume to ECS at the Transwestern West Texas Pool. The fuel gas delivered to ECS is based on </w:t>
      </w:r>
      <w:r>
        <w:rPr>
          <w:color w:val="FF0000"/>
          <w:sz w:val="22"/>
        </w:rPr>
        <w:t>55,290 Btu/Hp-hr</w:t>
      </w:r>
      <w:r>
        <w:rPr>
          <w:color w:val="0000FF"/>
          <w:sz w:val="22"/>
        </w:rPr>
        <w:t xml:space="preserve"> </w:t>
      </w:r>
      <w:r>
        <w:rPr>
          <w:sz w:val="22"/>
        </w:rPr>
        <w:t>for the first 25% of the load factor and a</w:t>
      </w:r>
      <w:r>
        <w:rPr>
          <w:color w:val="0000FF"/>
          <w:sz w:val="22"/>
        </w:rPr>
        <w:t xml:space="preserve"> </w:t>
      </w:r>
      <w:r>
        <w:rPr>
          <w:color w:val="FF0000"/>
          <w:sz w:val="22"/>
        </w:rPr>
        <w:t>6,990 Btu/Hp-hr</w:t>
      </w:r>
      <w:r>
        <w:rPr>
          <w:color w:val="0000FF"/>
          <w:sz w:val="22"/>
        </w:rPr>
        <w:t xml:space="preserve"> </w:t>
      </w:r>
      <w:r>
        <w:rPr>
          <w:sz w:val="22"/>
        </w:rPr>
        <w:t>for the remaining load factor up to 100% utilization</w:t>
      </w:r>
      <w:r>
        <w:rPr>
          <w:color w:val="0000FF"/>
          <w:sz w:val="22"/>
        </w:rPr>
        <w:t xml:space="preserve">.  </w:t>
      </w:r>
    </w:p>
    <w:p>
      <w:pPr>
        <w:pStyle w:val="Normal"/>
        <w:jc w:val="both"/>
        <w:rPr>
          <w:sz w:val="22"/>
        </w:rPr>
      </w:pPr>
      <w:r>
        <w:rPr>
          <w:sz w:val="22"/>
        </w:rPr>
      </w:r>
    </w:p>
    <w:p>
      <w:pPr>
        <w:pStyle w:val="Heading5"/>
        <w:ind w:hanging="0" w:start="0"/>
        <w:jc w:val="both"/>
        <w:rPr/>
      </w:pPr>
      <w:r>
        <w:rPr/>
        <w:t>Force Majeure</w:t>
      </w:r>
    </w:p>
    <w:p>
      <w:pPr>
        <w:pStyle w:val="Normal"/>
        <w:jc w:val="both"/>
        <w:rPr>
          <w:sz w:val="22"/>
        </w:rPr>
      </w:pPr>
      <w:r>
        <w:rPr>
          <w:sz w:val="22"/>
        </w:rPr>
        <w:t>The following general terms would be incorporated into any definitive agreement concerning the subject matter of this proposal.  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Seller for the operation of the Power Train, or any other causes, whether of the kind hereing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jc w:val="both"/>
        <w:rPr>
          <w:sz w:val="22"/>
        </w:rPr>
      </w:pPr>
      <w:r>
        <w:rPr>
          <w:sz w:val="22"/>
        </w:rPr>
      </w:r>
    </w:p>
    <w:p>
      <w:pPr>
        <w:pStyle w:val="Heading6"/>
        <w:ind w:hanging="0" w:start="0"/>
        <w:rPr/>
      </w:pPr>
      <w:r>
        <w:rPr/>
        <w:t>Unwinding Expenses</w:t>
      </w:r>
    </w:p>
    <w:p>
      <w:pPr>
        <w:pStyle w:val="Normal"/>
        <w:jc w:val="both"/>
        <w:rPr>
          <w:sz w:val="22"/>
        </w:rPr>
      </w:pPr>
      <w:r>
        <w:rPr>
          <w:sz w:val="22"/>
        </w:rPr>
        <w:t xml:space="preserve">If for any reason the Agreements were terminated by the Purchaser before the end of the contract term, the Purchaser would be responsible for any outstanding capital obligations, taxes and satisfying the gas volumes which would have been delivered to the Seller over the initial 10-year term. </w:t>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AND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Heading6"/>
        <w:ind w:hanging="0" w:start="0"/>
        <w:jc w:val="center"/>
        <w:rPr>
          <w:b/>
          <w:sz w:val="24"/>
          <w:u w:val="none"/>
        </w:rPr>
      </w:pPr>
      <w:r>
        <w:rPr>
          <w:b/>
          <w:sz w:val="24"/>
          <w:u w:val="none"/>
        </w:rPr>
        <w:t>ATTACHMENT - I</w:t>
      </w:r>
    </w:p>
    <w:p>
      <w:pPr>
        <w:pStyle w:val="Heading6"/>
        <w:ind w:hanging="0" w:start="0"/>
        <w:rPr>
          <w:b/>
          <w:sz w:val="24"/>
          <w:u w:val="none"/>
        </w:rPr>
      </w:pPr>
      <w:r>
        <w:rPr>
          <w:b/>
          <w:sz w:val="24"/>
          <w:u w:val="none"/>
        </w:rPr>
      </w:r>
    </w:p>
    <w:p>
      <w:pPr>
        <w:pStyle w:val="Normal"/>
        <w:rPr/>
      </w:pPr>
      <w:r>
        <w:rPr/>
      </w:r>
    </w:p>
    <w:p>
      <w:pPr>
        <w:pStyle w:val="Heading6"/>
        <w:ind w:hanging="0" w:start="0"/>
        <w:rPr/>
      </w:pPr>
      <w:r>
        <w:rPr/>
        <w:t>Energy Rebate Structure</w:t>
      </w:r>
    </w:p>
    <w:p>
      <w:pPr>
        <w:pStyle w:val="Normal"/>
        <w:jc w:val="both"/>
        <w:rPr>
          <w:sz w:val="22"/>
        </w:rPr>
      </w:pPr>
      <w:r>
        <w:rPr>
          <w:sz w:val="22"/>
        </w:rPr>
        <w:t xml:space="preserve">Under the terms of the Rate No. 21 schedule with the additional negotiated terms regarding the avoidable peak demand charge and the unavoidable Transmission demand charge are anticipated to be available post merger with Tri-State. ECS proposes to offer Transwestern a rebate structure based on Transwestern’s avoidance of those coincidental peak demand charges.  </w:t>
      </w:r>
    </w:p>
    <w:p>
      <w:pPr>
        <w:pStyle w:val="Normal"/>
        <w:jc w:val="both"/>
        <w:rPr>
          <w:sz w:val="22"/>
        </w:rPr>
      </w:pPr>
      <w:r>
        <w:rPr>
          <w:sz w:val="22"/>
        </w:rPr>
      </w:r>
    </w:p>
    <w:p>
      <w:pPr>
        <w:pStyle w:val="Normal"/>
        <w:jc w:val="both"/>
        <w:rPr>
          <w:sz w:val="22"/>
        </w:rPr>
      </w:pPr>
      <w:r>
        <w:rPr>
          <w:sz w:val="22"/>
        </w:rPr>
        <w:t>ECS would rebate Transwestern based on actual demand and actual coincidental peaks successfully avoided with adjustments made for unavoidable monthly minimum energy and transmission charges.  ECS would provide an end of the year distribution of an accumulated rebate balance as calculated on a monthly basis with a scheduled two month billing and accounting delay.</w:t>
      </w:r>
    </w:p>
    <w:p>
      <w:pPr>
        <w:pStyle w:val="Normal"/>
        <w:jc w:val="both"/>
        <w:rPr>
          <w:sz w:val="22"/>
        </w:rPr>
      </w:pPr>
      <w:r>
        <w:rPr>
          <w:sz w:val="22"/>
        </w:rPr>
      </w:r>
    </w:p>
    <w:p>
      <w:pPr>
        <w:pStyle w:val="Normal"/>
        <w:jc w:val="both"/>
        <w:rPr>
          <w:sz w:val="22"/>
        </w:rPr>
      </w:pPr>
      <w:r>
        <w:rPr>
          <w:sz w:val="22"/>
        </w:rPr>
      </w:r>
    </w:p>
    <w:p>
      <w:pPr>
        <w:pStyle w:val="Normal"/>
        <w:jc w:val="both"/>
        <w:rPr>
          <w:i/>
          <w:i/>
          <w:sz w:val="22"/>
        </w:rPr>
      </w:pPr>
      <w:r>
        <w:rPr>
          <w:i/>
          <w:sz w:val="22"/>
        </w:rPr>
        <w:t xml:space="preserve">       </w:t>
      </w:r>
      <w:r>
        <w:rPr>
          <w:i/>
          <w:sz w:val="22"/>
        </w:rPr>
        <w:t>Peak Rebate = [(Billing Demand Basis) – (Actual Demand Charges)]</w:t>
      </w:r>
    </w:p>
    <w:p>
      <w:pPr>
        <w:pStyle w:val="Normal"/>
        <w:jc w:val="both"/>
        <w:rPr>
          <w:i/>
          <w:i/>
          <w:sz w:val="22"/>
        </w:rPr>
      </w:pPr>
      <w:r>
        <w:rPr>
          <w:i/>
          <w:sz w:val="22"/>
        </w:rPr>
      </w:r>
    </w:p>
    <w:p>
      <w:pPr>
        <w:pStyle w:val="Normal"/>
        <w:jc w:val="both"/>
        <w:rPr/>
      </w:pPr>
      <w:r>
        <w:rPr>
          <w:i/>
        </w:rPr>
        <w:t xml:space="preserve">       </w:t>
      </w:r>
      <w:r>
        <w:rPr>
          <w:i/>
          <w:sz w:val="22"/>
        </w:rPr>
        <w:t>Actual Demand Charges = [(Coincidental Demand) + (Transmission Demand)]</w:t>
      </w:r>
    </w:p>
    <w:p>
      <w:pPr>
        <w:pStyle w:val="Normal"/>
        <w:jc w:val="both"/>
        <w:rPr>
          <w:i/>
          <w:i/>
          <w:sz w:val="22"/>
        </w:rPr>
      </w:pPr>
      <w:r>
        <w:rPr>
          <w:i/>
          <w:sz w:val="22"/>
        </w:rPr>
      </w:r>
    </w:p>
    <w:p>
      <w:pPr>
        <w:pStyle w:val="Normal"/>
        <w:jc w:val="both"/>
        <w:rPr/>
      </w:pPr>
      <w:r>
        <w:rPr>
          <w:sz w:val="22"/>
        </w:rPr>
        <w:t>The Minimum Energy Reversal reduces the rebate amount to account for minimum energy</w:t>
      </w:r>
      <w:r>
        <w:rPr>
          <w:color w:val="0000FF"/>
          <w:sz w:val="22"/>
        </w:rPr>
        <w:t xml:space="preserve"> </w:t>
      </w:r>
      <w:r>
        <w:rPr>
          <w:sz w:val="22"/>
        </w:rPr>
        <w:t xml:space="preserve">payments required by the utility on a monthly basis.  Load Factors below </w:t>
      </w:r>
      <w:r>
        <w:rPr>
          <w:color w:val="FF0000"/>
          <w:sz w:val="22"/>
        </w:rPr>
        <w:t>51%</w:t>
      </w:r>
      <w:r>
        <w:rPr>
          <w:color w:val="0000FF"/>
          <w:sz w:val="22"/>
        </w:rPr>
        <w:t xml:space="preserve"> </w:t>
      </w:r>
      <w:r>
        <w:rPr>
          <w:sz w:val="22"/>
        </w:rPr>
        <w:t>or</w:t>
      </w:r>
      <w:r>
        <w:rPr>
          <w:color w:val="0000FF"/>
          <w:sz w:val="22"/>
        </w:rPr>
        <w:t xml:space="preserve"> </w:t>
      </w:r>
      <w:r>
        <w:rPr>
          <w:color w:val="FF0000"/>
          <w:sz w:val="22"/>
        </w:rPr>
        <w:t>2,920,000</w:t>
      </w:r>
      <w:r>
        <w:rPr>
          <w:color w:val="0000FF"/>
          <w:sz w:val="22"/>
        </w:rPr>
        <w:t xml:space="preserve"> </w:t>
      </w:r>
      <w:r>
        <w:rPr>
          <w:sz w:val="22"/>
        </w:rPr>
        <w:t>kWh in a given month will require this reversal and reduce the Demand Rebate utilizing the formula:</w:t>
      </w:r>
    </w:p>
    <w:p>
      <w:pPr>
        <w:pStyle w:val="Normal"/>
        <w:jc w:val="both"/>
        <w:rPr>
          <w:sz w:val="22"/>
        </w:rPr>
      </w:pPr>
      <w:r>
        <w:rPr>
          <w:sz w:val="22"/>
        </w:rPr>
      </w:r>
    </w:p>
    <w:p>
      <w:pPr>
        <w:pStyle w:val="Normal"/>
        <w:jc w:val="both"/>
        <w:rPr>
          <w:i/>
          <w:i/>
          <w:color w:val="0000FF"/>
          <w:sz w:val="22"/>
        </w:rPr>
      </w:pPr>
      <w:r>
        <w:rPr>
          <w:i/>
          <w:sz w:val="22"/>
        </w:rPr>
        <w:t xml:space="preserve">       </w:t>
      </w:r>
      <w:r>
        <w:rPr>
          <w:i/>
          <w:sz w:val="22"/>
        </w:rPr>
        <w:t>Minimum Energy Reversal = [(Energy Charge) x (</w:t>
      </w:r>
      <w:r>
        <w:rPr>
          <w:i/>
          <w:color w:val="FF0000"/>
          <w:sz w:val="22"/>
        </w:rPr>
        <w:t>2,920,000</w:t>
      </w:r>
      <w:r>
        <w:rPr>
          <w:i/>
          <w:color w:val="0000FF"/>
          <w:sz w:val="22"/>
        </w:rPr>
        <w:t xml:space="preserve"> </w:t>
      </w:r>
      <w:r>
        <w:rPr>
          <w:i/>
          <w:sz w:val="22"/>
        </w:rPr>
        <w:t>kWh – Actual kWh)]</w:t>
      </w:r>
    </w:p>
    <w:p>
      <w:pPr>
        <w:pStyle w:val="Normal"/>
        <w:jc w:val="both"/>
        <w:rPr>
          <w:i/>
          <w:i/>
          <w:color w:val="0000FF"/>
          <w:sz w:val="22"/>
        </w:rPr>
      </w:pPr>
      <w:r>
        <w:rPr>
          <w:i/>
          <w:color w:val="0000FF"/>
          <w:sz w:val="22"/>
        </w:rPr>
      </w:r>
    </w:p>
    <w:p>
      <w:pPr>
        <w:pStyle w:val="Normal"/>
        <w:jc w:val="both"/>
        <w:rPr/>
      </w:pPr>
      <w:r>
        <w:rPr>
          <w:sz w:val="22"/>
        </w:rPr>
        <w:t>The Minimum Transmission Reversal also reduces the rebate amount to account for minimum demand charges required by the utility on a monthly basis.  Load Factors below</w:t>
      </w:r>
      <w:r>
        <w:rPr>
          <w:color w:val="0000FF"/>
          <w:sz w:val="22"/>
        </w:rPr>
        <w:t xml:space="preserve"> </w:t>
      </w:r>
      <w:r>
        <w:rPr>
          <w:color w:val="FF0000"/>
          <w:sz w:val="22"/>
        </w:rPr>
        <w:t>26%</w:t>
      </w:r>
      <w:r>
        <w:rPr>
          <w:color w:val="0000FF"/>
          <w:sz w:val="22"/>
        </w:rPr>
        <w:t xml:space="preserve"> </w:t>
      </w:r>
      <w:r>
        <w:rPr>
          <w:sz w:val="22"/>
        </w:rPr>
        <w:t xml:space="preserve">or </w:t>
      </w:r>
      <w:r>
        <w:rPr>
          <w:color w:val="FF0000"/>
          <w:sz w:val="22"/>
        </w:rPr>
        <w:t>1,488,000</w:t>
      </w:r>
      <w:r>
        <w:rPr>
          <w:color w:val="0000FF"/>
          <w:sz w:val="22"/>
        </w:rPr>
        <w:t xml:space="preserve"> </w:t>
      </w:r>
      <w:r>
        <w:rPr>
          <w:sz w:val="22"/>
        </w:rPr>
        <w:t>kWh in a given month will require this reversal to reduce the Demand Rebate utilizing the formula:</w:t>
      </w:r>
    </w:p>
    <w:p>
      <w:pPr>
        <w:pStyle w:val="Normal"/>
        <w:jc w:val="both"/>
        <w:rPr>
          <w:sz w:val="22"/>
        </w:rPr>
      </w:pPr>
      <w:r>
        <w:rPr>
          <w:sz w:val="22"/>
        </w:rPr>
      </w:r>
    </w:p>
    <w:p>
      <w:pPr>
        <w:pStyle w:val="Normal"/>
        <w:jc w:val="both"/>
        <w:rPr>
          <w:i/>
          <w:i/>
          <w:sz w:val="22"/>
        </w:rPr>
      </w:pPr>
      <w:r>
        <w:rPr>
          <w:i/>
          <w:sz w:val="22"/>
        </w:rPr>
        <w:t xml:space="preserve">     </w:t>
      </w:r>
      <w:r>
        <w:rPr>
          <w:i/>
          <w:sz w:val="22"/>
        </w:rPr>
        <w:t>Minimum Trans. Reversal = [(Trans. Demand Charge) x (5,000 kW – Actual Peak Demand)]</w:t>
      </w:r>
    </w:p>
    <w:p>
      <w:pPr>
        <w:pStyle w:val="Normal"/>
        <w:jc w:val="both"/>
        <w:rPr>
          <w:i/>
          <w:i/>
          <w:sz w:val="22"/>
        </w:rPr>
      </w:pPr>
      <w:r>
        <w:rPr>
          <w:i/>
          <w:sz w:val="22"/>
        </w:rPr>
      </w:r>
    </w:p>
    <w:p>
      <w:pPr>
        <w:pStyle w:val="Normal"/>
        <w:jc w:val="both"/>
        <w:rPr>
          <w:sz w:val="22"/>
        </w:rPr>
      </w:pPr>
      <w:r>
        <w:rPr>
          <w:sz w:val="22"/>
        </w:rPr>
      </w:r>
    </w:p>
    <w:p>
      <w:pPr>
        <w:pStyle w:val="Normal"/>
        <w:jc w:val="both"/>
        <w:rPr/>
      </w:pPr>
      <w:r>
        <w:rPr>
          <w:sz w:val="22"/>
        </w:rPr>
        <w:t xml:space="preserve">Low Load Factor Reversal is calculated when the Load Factor of the unit is less than </w:t>
      </w:r>
      <w:r>
        <w:rPr>
          <w:color w:val="FF0000"/>
          <w:sz w:val="22"/>
        </w:rPr>
        <w:t>25%</w:t>
      </w:r>
      <w:r>
        <w:rPr>
          <w:color w:val="0000FF"/>
          <w:sz w:val="22"/>
        </w:rPr>
        <w:t xml:space="preserve"> </w:t>
      </w:r>
      <w:r>
        <w:rPr>
          <w:sz w:val="22"/>
        </w:rPr>
        <w:t>for a given month.  Assuming this criteria the gas revenues are insufficient to cover the cost of electric service and would then reduce the Demand Rebate.  The Low Load Factor Rebate will be:</w:t>
      </w:r>
    </w:p>
    <w:p>
      <w:pPr>
        <w:pStyle w:val="Normal"/>
        <w:jc w:val="both"/>
        <w:rPr>
          <w:sz w:val="22"/>
        </w:rPr>
      </w:pPr>
      <w:r>
        <w:rPr>
          <w:sz w:val="22"/>
        </w:rPr>
      </w:r>
    </w:p>
    <w:p>
      <w:pPr>
        <w:pStyle w:val="BodyTextIndent2"/>
        <w:ind w:hanging="2790" w:start="2880" w:end="0"/>
        <w:rPr>
          <w:i/>
          <w:i/>
          <w:color w:val="auto"/>
          <w:sz w:val="22"/>
        </w:rPr>
      </w:pPr>
      <w:r>
        <w:rPr>
          <w:i/>
          <w:color w:val="auto"/>
          <w:sz w:val="22"/>
        </w:rPr>
        <w:t>Low Load Factor Reversal = [(Actual Cost of Electricity) – ($100,904 x Load Factor %)                                                               - (demand rebates)] + [(% of Rated Peak x $18,459)]</w:t>
      </w:r>
    </w:p>
    <w:p>
      <w:pPr>
        <w:pStyle w:val="Normal"/>
        <w:jc w:val="both"/>
        <w:rPr>
          <w:i/>
          <w:i/>
          <w:color w:val="auto"/>
          <w:sz w:val="22"/>
        </w:rPr>
      </w:pPr>
      <w:r>
        <w:rPr>
          <w:i/>
          <w:color w:val="auto"/>
          <w:sz w:val="22"/>
        </w:rPr>
      </w:r>
    </w:p>
    <w:p>
      <w:pPr>
        <w:pStyle w:val="Normal"/>
        <w:jc w:val="both"/>
        <w:rPr>
          <w:i/>
          <w:i/>
          <w:sz w:val="22"/>
        </w:rPr>
      </w:pPr>
      <w:r>
        <w:rPr>
          <w:i/>
          <w:sz w:val="22"/>
        </w:rPr>
      </w:r>
    </w:p>
    <w:p>
      <w:pPr>
        <w:pStyle w:val="Normal"/>
        <w:jc w:val="both"/>
        <w:rPr>
          <w:sz w:val="22"/>
        </w:rPr>
      </w:pPr>
      <w:r>
        <w:rPr>
          <w:sz w:val="22"/>
        </w:rPr>
        <w:t>The Demand Rebate would then be determined as the difference between the Peak Demand, the Minimum Energy Reversal and the Minimum Transmission Reversal on a monthly basis:</w:t>
      </w:r>
    </w:p>
    <w:p>
      <w:pPr>
        <w:pStyle w:val="Normal"/>
        <w:jc w:val="both"/>
        <w:rPr>
          <w:sz w:val="22"/>
        </w:rPr>
      </w:pPr>
      <w:r>
        <w:rPr>
          <w:sz w:val="22"/>
        </w:rPr>
      </w:r>
    </w:p>
    <w:p>
      <w:pPr>
        <w:pStyle w:val="Normal"/>
        <w:ind w:hanging="1710" w:start="1710" w:end="0"/>
        <w:jc w:val="both"/>
        <w:rPr/>
      </w:pPr>
      <w:r>
        <w:rPr>
          <w:i/>
          <w:sz w:val="22"/>
        </w:rPr>
        <w:t>Demand Rebate = [(Peak Demand) – (Minimum Energy Reversal) – (Minimum Trans. Reversal</w:t>
      </w:r>
      <w:r>
        <w:rPr>
          <w:sz w:val="22"/>
        </w:rPr>
        <w:t>) – (Low Load Factor Reversal)]</w:t>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1999-09-01T13:00:00Z</dcterms:created>
  <dc:creator>mknippa</dc:creator>
  <dc:description/>
  <dc:language>en-CA</dc:language>
  <cp:lastModifiedBy>mknippa</cp:lastModifiedBy>
  <cp:lastPrinted>1999-09-01T10:31:00Z</cp:lastPrinted>
  <dcterms:modified xsi:type="dcterms:W3CDTF">1999-09-01T16:05:00Z</dcterms:modified>
  <cp:revision>5</cp:revision>
  <dc:subject/>
  <dc:title>INTRODUCTION</dc:title>
</cp:coreProperties>
</file>