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sz w:val="24"/>
        </w:rPr>
        <w:t>July 20, 2001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rFonts w:ascii="Times New Roman" w:hAnsi="Times New Roman"/>
          <w:sz w:val="24"/>
        </w:rPr>
        <w:t>Fulbright &amp; Jaworski, L.L.P.</w:t>
      </w:r>
    </w:p>
    <w:p>
      <w:pPr>
        <w:pStyle w:val="Normal"/>
        <w:bidi w:val="0"/>
        <w:spacing w:lineRule="atLeast" w:line="0"/>
        <w:jc w:val="both"/>
        <w:rPr>
          <w:rFonts w:ascii="Times New Roman" w:hAnsi="Times New Roman"/>
          <w:sz w:val="24"/>
        </w:rPr>
      </w:pPr>
      <w:r>
        <w:rPr>
          <w:rFonts w:ascii="Times New Roman" w:hAnsi="Times New Roman"/>
          <w:sz w:val="24"/>
        </w:rPr>
        <w:t>1301 McKinney, Suite 5100</w:t>
      </w:r>
    </w:p>
    <w:p>
      <w:pPr>
        <w:pStyle w:val="Normal"/>
        <w:bidi w:val="0"/>
        <w:spacing w:lineRule="atLeast" w:line="0"/>
        <w:jc w:val="both"/>
        <w:rPr>
          <w:rFonts w:ascii="Times New Roman" w:hAnsi="Times New Roman"/>
          <w:sz w:val="24"/>
        </w:rPr>
      </w:pPr>
      <w:r>
        <w:rPr>
          <w:rFonts w:ascii="Times New Roman" w:hAnsi="Times New Roman"/>
          <w:sz w:val="24"/>
        </w:rPr>
        <w:t>Houston, Texas 77010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Re:</w:t>
        <w:tab/>
        <w:t xml:space="preserve">Cause No. 2001-08124; </w:t>
      </w:r>
      <w:r>
        <w:rPr>
          <w:rFonts w:ascii="Times New Roman" w:hAnsi="Times New Roman"/>
          <w:i/>
          <w:sz w:val="24"/>
        </w:rPr>
        <w:t>In the Interest of Unborn Child</w:t>
      </w:r>
      <w:r>
        <w:rPr>
          <w:rFonts w:ascii="Times New Roman" w:hAnsi="Times New Roman"/>
          <w:sz w:val="24"/>
        </w:rPr>
        <w:t>; In the District Court of Harris County, Texas; 310</w:t>
      </w:r>
      <w:r>
        <w:rPr>
          <w:rFonts w:ascii="Times New Roman" w:hAnsi="Times New Roman"/>
          <w:sz w:val="24"/>
          <w:vertAlign w:val="superscript"/>
        </w:rPr>
        <w:t>th</w:t>
      </w:r>
      <w:r>
        <w:rPr>
          <w:rFonts w:ascii="Times New Roman" w:hAnsi="Times New Roman"/>
          <w:sz w:val="24"/>
        </w:rPr>
        <w:t xml:space="preserve"> Judicial District.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Dear Stewart and Miryam:</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Thank you for your fax letter of July 19</w:t>
      </w:r>
      <w:r>
        <w:rPr>
          <w:rFonts w:ascii="Times New Roman" w:hAnsi="Times New Roman"/>
          <w:sz w:val="24"/>
          <w:vertAlign w:val="superscript"/>
        </w:rPr>
        <w:t>th</w:t>
      </w:r>
      <w:r>
        <w:rPr>
          <w:rFonts w:ascii="Times New Roman" w:hAnsi="Times New Roman"/>
          <w:sz w:val="24"/>
        </w:rPr>
        <w:t>.    I strongly take issue with your first paragraph indicating that Joe was not interested in visitation.    I assume you either forgot what I told you yesterday or this is posturing for some future court action.    Neither Tonya nor anyone else informed Joe or our office of the birth of the child until Michael Childs called your office to check the status on May 23</w:t>
      </w:r>
      <w:r>
        <w:rPr>
          <w:rFonts w:ascii="Times New Roman" w:hAnsi="Times New Roman"/>
          <w:sz w:val="24"/>
          <w:vertAlign w:val="superscript"/>
        </w:rPr>
        <w:t>rd</w:t>
      </w:r>
      <w:r>
        <w:rPr>
          <w:rFonts w:ascii="Times New Roman" w:hAnsi="Times New Roman"/>
          <w:sz w:val="24"/>
        </w:rPr>
        <w:t xml:space="preserve"> and learned that the child had, indeed, been born on May 12, 2001.      Furthermore, the fact that Joe needed to verify the paternity through DNA testing before he began to attach to this child was only wise and natural.    As    Tonya is the only one that actually knew that Joe was the father, she could have taken steps long ago to establish this fact if she really wanted to recognize his fatherhood.    Joe , as I told you yesterday and as he testified, is delighted with the fact that he has a son and he wants to see him as soon as possible. 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We do accept your offer of visitation, but would request that it begin the weekend of    June 28</w:t>
      </w:r>
      <w:r>
        <w:rPr>
          <w:rFonts w:ascii="Times New Roman" w:hAnsi="Times New Roman"/>
          <w:sz w:val="24"/>
          <w:vertAlign w:val="superscript"/>
        </w:rPr>
        <w:t>th</w:t>
      </w:r>
      <w:r>
        <w:rPr>
          <w:rFonts w:ascii="Times New Roman" w:hAnsi="Times New Roman"/>
          <w:sz w:val="24"/>
        </w:rPr>
        <w:t>    and 29</w:t>
      </w:r>
      <w:r>
        <w:rPr>
          <w:rFonts w:ascii="Times New Roman" w:hAnsi="Times New Roman"/>
          <w:sz w:val="24"/>
          <w:vertAlign w:val="superscript"/>
        </w:rPr>
        <w:t>th</w:t>
      </w:r>
      <w:r>
        <w:rPr>
          <w:rFonts w:ascii="Times New Roman" w:hAnsi="Times New Roman"/>
          <w:sz w:val="24"/>
        </w:rPr>
        <w:t>.    We are concerned about the inappropriate limitations which are being placed on Joe’s visitation periods.    A two hour period from 1-3 p.m. on Saturday and on Sunday for the first visitation may be appropriate, but subsequent visitations should increasingly be longer.    I also think that the first visitation in the mother’s presence is appropriate, but not in her boyfriend’s home or with her parents or others being present.    I think the two parents and the child together for the first time is appropriate and that can be arranged at a hotel.    Joe is suggesting Orlando for that purpose.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Obviously, Tonya is not breast-feeding totally, as her work schedule and her visit to Houston indicated she must be pumping or using alternate methods of feeding the child and, therefore, a two-hour limitation is unduly limiting.    We also believe that a second two-hour visit on Saturday the 28th of July is appropriate after the child’s nap or the feeding and would suggest from either 5:00 to 7:00 or 6:00 to 8:00 at Tonya’s choice.    Since Joe will have to travel so far for this, he would like to spend the maximum amount of time with his son.</w:t>
      </w:r>
    </w:p>
    <w:p>
      <w:pPr>
        <w:pStyle w:val="Normal"/>
        <w:bidi w:val="0"/>
        <w:spacing w:lineRule="atLeast" w:line="0"/>
        <w:jc w:val="both"/>
        <w:rPr>
          <w:rFonts w:ascii="Times New Roman" w:hAnsi="Times New Roman"/>
          <w:sz w:val="24"/>
        </w:rPr>
      </w:pPr>
      <w:r>
        <w:rPr>
          <w:rFonts w:ascii="Times New Roman" w:hAnsi="Times New Roman"/>
          <w:sz w:val="24"/>
        </w:rPr>
      </w:r>
    </w:p>
    <w:p>
      <w:pPr>
        <w:sectPr>
          <w:type w:val="nextPage"/>
          <w:pgSz w:w="12240" w:h="15840"/>
          <w:pgMar w:left="1440" w:right="1440" w:gutter="0" w:header="0" w:top="3456" w:footer="0" w:bottom="720"/>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Finally, we appreciate your gathering financial information and a financial information statement in connection with your client’s needs and I will be gathering information so that we might exchange the same in connection with the support issue.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Donn C. Fullenweider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DCF:jls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cc:</w:t>
        <w:tab/>
        <w:t>Joseph Stepenovitch</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14"/>
        </w:rPr>
        <w:fldChar w:fldCharType="begin"/>
      </w:r>
      <w:r>
        <w:rPr>
          <w:sz w:val="14"/>
          <w:rFonts w:ascii="Times New Roman" w:hAnsi="Times New Roman"/>
        </w:rPr>
        <w:instrText xml:space="preserve"> FILENAME </w:instrText>
      </w:r>
      <w:r>
        <w:rPr>
          <w:sz w:val="14"/>
          <w:rFonts w:ascii="Times New Roman" w:hAnsi="Times New Roman"/>
        </w:rPr>
        <w:fldChar w:fldCharType="separate"/>
      </w:r>
      <w:r>
        <w:rPr>
          <w:sz w:val="14"/>
          <w:rFonts w:ascii="Times New Roman" w:hAnsi="Times New Roman"/>
        </w:rPr>
        <w:t>Gagnon.7_20_01.ltr.jls.doc</w:t>
      </w:r>
      <w:r>
        <w:rPr>
          <w:sz w:val="14"/>
          <w:rFonts w:ascii="Times New Roman" w:hAnsi="Times New Roman"/>
        </w:rPr>
        <w:fldChar w:fldCharType="end"/>
      </w:r>
    </w:p>
    <w:sectPr>
      <w:headerReference w:type="even" r:id="rId2"/>
      <w:headerReference w:type="default" r:id="rId3"/>
      <w:headerReference w:type="first" r:id="rId4"/>
      <w:type w:val="nextPage"/>
      <w:pgSz w:w="12240" w:h="15840"/>
      <w:pgMar w:left="1440" w:right="1440" w:gutter="0" w:header="3456" w:top="3513"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p>
    <w:pPr>
      <w:pStyle w:val="Normal"/>
      <w:bidi w:val="0"/>
      <w:spacing w:lineRule="atLeast" w:line="0"/>
      <w:jc w:val="both"/>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Mr. Stewart Gagnon</w:t>
    </w:r>
  </w:p>
  <w:p>
    <w:pPr>
      <w:pStyle w:val="Normal"/>
      <w:bidi w:val="0"/>
      <w:spacing w:lineRule="atLeast" w:line="0"/>
      <w:jc w:val="both"/>
      <w:rPr>
        <w:rFonts w:ascii="Times New Roman" w:hAnsi="Times New Roman"/>
        <w:sz w:val="24"/>
      </w:rPr>
    </w:pPr>
    <w:r>
      <w:rPr>
        <w:rFonts w:ascii="Times New Roman" w:hAnsi="Times New Roman"/>
        <w:sz w:val="24"/>
      </w:rPr>
      <w:t>Ms. Miryam Mitchell</w:t>
    </w:r>
  </w:p>
  <w:p>
    <w:pPr>
      <w:pStyle w:val="Normal"/>
      <w:bidi w:val="0"/>
      <w:spacing w:lineRule="atLeast" w:line="0"/>
      <w:jc w:val="both"/>
      <w:rPr>
        <w:rFonts w:ascii="Times New Roman" w:hAnsi="Times New Roman"/>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p>
    <w:pPr>
      <w:pStyle w:val="Normal"/>
      <w:bidi w:val="0"/>
      <w:spacing w:lineRule="atLeast" w:line="0"/>
      <w:jc w:val="both"/>
      <w:rPr>
        <w:rFonts w:ascii="Times New Roman" w:hAnsi="Times New Roman"/>
        <w:sz w:val="24"/>
      </w:rPr>
    </w:pPr>
    <w:r>
      <w:rPr>
        <w:rFonts w:ascii="Times New Roman" w:hAnsi="Times New Roman"/>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