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tbl>
      <w:tblPr>
        <w:tblW w:w="10413" w:type="dxa"/>
        <w:jc w:val="center"/>
        <w:tblInd w:w="0" w:type="dxa"/>
        <w:tblLayout w:type="fixed"/>
        <w:tblCellMar>
          <w:top w:w="0" w:type="dxa"/>
          <w:start w:w="108" w:type="dxa"/>
          <w:bottom w:w="0" w:type="dxa"/>
          <w:end w:w="108" w:type="dxa"/>
        </w:tblCellMar>
      </w:tblPr>
      <w:tblGrid>
        <w:gridCol w:w="1790"/>
        <w:gridCol w:w="8"/>
        <w:gridCol w:w="2"/>
        <w:gridCol w:w="16"/>
        <w:gridCol w:w="41"/>
        <w:gridCol w:w="3723"/>
        <w:gridCol w:w="4537"/>
        <w:gridCol w:w="11"/>
        <w:gridCol w:w="9"/>
        <w:gridCol w:w="11"/>
        <w:gridCol w:w="112"/>
        <w:gridCol w:w="153"/>
      </w:tblGrid>
      <w:tr>
        <w:trPr/>
        <w:tc>
          <w:tcPr>
            <w:tcW w:w="10117" w:type="dxa"/>
            <w:gridSpan w:val="7"/>
            <w:tcBorders/>
          </w:tcPr>
          <w:p>
            <w:pPr>
              <w:pStyle w:val="RateTitle"/>
              <w:widowControl/>
              <w:rPr>
                <w:b/>
                <w:bCs/>
              </w:rPr>
            </w:pPr>
            <w:r>
              <w:rPr>
                <w:b/>
                <w:bCs/>
              </w:rPr>
              <w:t>SCHEDULE G-CRED – BILLING CREDITS FOR CTA-CONSOLIDATED BILLING</w:t>
            </w:r>
          </w:p>
          <w:p>
            <w:pPr>
              <w:pStyle w:val="RateTitle"/>
              <w:widowControl/>
              <w:spacing w:before="0" w:after="200"/>
              <w:rPr>
                <w:b/>
                <w:bCs/>
              </w:rPr>
            </w:pPr>
            <w:r>
              <w:rPr>
                <w:b/>
                <w:bCs/>
              </w:rPr>
            </w:r>
          </w:p>
        </w:tc>
        <w:tc>
          <w:tcPr>
            <w:tcW w:w="296" w:type="dxa"/>
            <w:gridSpan w:val="5"/>
            <w:tcBorders/>
            <w:tcMar>
              <w:start w:w="0" w:type="dxa"/>
              <w:end w:w="0" w:type="dxa"/>
            </w:tcMar>
          </w:tcPr>
          <w:p>
            <w:pPr>
              <w:pStyle w:val="Normal"/>
              <w:snapToGrid w:val="false"/>
              <w:rPr>
                <w:b/>
                <w:bCs/>
              </w:rPr>
            </w:pPr>
            <w:r>
              <w:rPr>
                <w:b/>
                <w:bCs/>
              </w:rPr>
            </w:r>
          </w:p>
        </w:tc>
      </w:tr>
      <w:tr>
        <w:trPr/>
        <w:tc>
          <w:tcPr>
            <w:tcW w:w="1857" w:type="dxa"/>
            <w:gridSpan w:val="5"/>
            <w:tcBorders/>
          </w:tcPr>
          <w:p>
            <w:pPr>
              <w:pStyle w:val="RateBody"/>
              <w:widowControl/>
              <w:spacing w:before="0" w:after="200"/>
              <w:rPr>
                <w:b/>
                <w:bCs/>
              </w:rPr>
            </w:pPr>
            <w:r>
              <w:rPr>
                <w:b/>
                <w:bCs/>
              </w:rPr>
              <w:t>APPLICABILITY:</w:t>
            </w:r>
          </w:p>
        </w:tc>
        <w:tc>
          <w:tcPr>
            <w:tcW w:w="8280" w:type="dxa"/>
            <w:gridSpan w:val="4"/>
            <w:tcBorders/>
          </w:tcPr>
          <w:p>
            <w:pPr>
              <w:pStyle w:val="RateBody"/>
              <w:widowControl/>
              <w:spacing w:before="0" w:after="200"/>
              <w:rPr>
                <w:b/>
                <w:bCs/>
              </w:rPr>
            </w:pPr>
            <w:r>
              <w:rPr>
                <w:b/>
                <w:bCs/>
              </w:rPr>
              <w:t xml:space="preserve">This schedule applies to customers who receive core gas aggregation service under Schedule G-CT and whose Core Transport Agents (CTAs) provides consolidated billing services.  Core transport customers for whom a CTA provide consolidated billing (as specified in Gas Rule 23*), will receive a credit from PG&amp;E towards their transportation charges for that period of time during which PG&amp;E is not required to send an information-only bill to such customer.  These credits will apply to gas-only (single commodity) customers, as well as gas and electric (dual commodity) customers.  To qualify, customers must be served by a CTA that (a) has an effective Customer Authorization for Core Gas Transportation Service indicating CTA-consolidated billing; and,  (b) has an effective Core Transportation Agent Billing Agreement (Attachment K) unless such Attachment K has been superseded because consumer protection legislation has become effective and consumer protection rules have been adopted by the CPUC; and (c) uses Electronic Data Interchange (EDI) to exchange billing data with PG&amp;E.  </w:t>
            </w:r>
          </w:p>
        </w:tc>
        <w:tc>
          <w:tcPr>
            <w:tcW w:w="276" w:type="dxa"/>
            <w:gridSpan w:val="3"/>
            <w:tcBorders/>
            <w:tcMar>
              <w:start w:w="0" w:type="dxa"/>
              <w:end w:w="0" w:type="dxa"/>
            </w:tcMar>
          </w:tcPr>
          <w:p>
            <w:pPr>
              <w:pStyle w:val="Normal"/>
              <w:snapToGrid w:val="false"/>
              <w:rPr>
                <w:b/>
                <w:bCs/>
              </w:rPr>
            </w:pPr>
            <w:r>
              <w:rPr>
                <w:b/>
                <w:bCs/>
              </w:rPr>
            </w:r>
          </w:p>
        </w:tc>
      </w:tr>
      <w:tr>
        <w:trPr/>
        <w:tc>
          <w:tcPr>
            <w:tcW w:w="1790" w:type="dxa"/>
            <w:tcBorders/>
          </w:tcPr>
          <w:p>
            <w:pPr>
              <w:pStyle w:val="Normal"/>
              <w:rPr>
                <w:b/>
                <w:bCs/>
              </w:rPr>
            </w:pPr>
            <w:r>
              <w:rPr>
                <w:b/>
                <w:bCs/>
              </w:rPr>
              <w:t>TERRITORY:</w:t>
            </w:r>
          </w:p>
        </w:tc>
        <w:tc>
          <w:tcPr>
            <w:tcW w:w="8358" w:type="dxa"/>
            <w:gridSpan w:val="9"/>
            <w:tcBorders/>
          </w:tcPr>
          <w:p>
            <w:pPr>
              <w:pStyle w:val="RateBody"/>
              <w:widowControl/>
              <w:spacing w:before="0" w:after="200"/>
              <w:rPr>
                <w:b/>
                <w:bCs/>
              </w:rPr>
            </w:pPr>
            <w:r>
              <w:rPr>
                <w:b/>
                <w:bCs/>
                <w:color w:val="000000"/>
              </w:rPr>
              <w:t>Schedule G-CRED applies everywhere PG&amp;E provides natural gas service.</w:t>
            </w:r>
          </w:p>
        </w:tc>
        <w:tc>
          <w:tcPr>
            <w:tcW w:w="265" w:type="dxa"/>
            <w:gridSpan w:val="2"/>
            <w:tcBorders/>
          </w:tcPr>
          <w:p>
            <w:pPr>
              <w:pStyle w:val="EditNotation"/>
              <w:widowControl/>
              <w:snapToGrid w:val="false"/>
              <w:rPr>
                <w:b/>
                <w:bCs/>
              </w:rPr>
            </w:pPr>
            <w:r>
              <w:rPr>
                <w:b/>
                <w:bCs/>
              </w:rPr>
            </w:r>
          </w:p>
        </w:tc>
      </w:tr>
      <w:tr>
        <w:trPr/>
        <w:tc>
          <w:tcPr>
            <w:tcW w:w="1798" w:type="dxa"/>
            <w:gridSpan w:val="2"/>
            <w:tcBorders/>
          </w:tcPr>
          <w:p>
            <w:pPr>
              <w:pStyle w:val="Normal"/>
              <w:rPr>
                <w:b/>
                <w:bCs/>
              </w:rPr>
            </w:pPr>
            <w:r>
              <w:rPr>
                <w:b/>
                <w:bCs/>
              </w:rPr>
              <w:t>AVOIDED COST CREDITS FOR</w:t>
            </w:r>
          </w:p>
          <w:p>
            <w:pPr>
              <w:pStyle w:val="Normal"/>
              <w:rPr>
                <w:b/>
                <w:bCs/>
              </w:rPr>
            </w:pPr>
            <w:r>
              <w:rPr>
                <w:b/>
                <w:bCs/>
              </w:rPr>
              <w:t>CTA-CONSOLIDATED BILLING:</w:t>
            </w:r>
          </w:p>
          <w:p>
            <w:pPr>
              <w:pStyle w:val="Normal"/>
              <w:ind w:start="1725" w:end="0"/>
              <w:rPr>
                <w:b/>
                <w:bCs/>
              </w:rPr>
            </w:pPr>
            <w:r>
              <w:rPr>
                <w:b/>
                <w:bCs/>
              </w:rPr>
            </w:r>
          </w:p>
          <w:p>
            <w:pPr>
              <w:pStyle w:val="RateBody"/>
              <w:widowControl/>
              <w:spacing w:before="0" w:after="0"/>
              <w:rPr>
                <w:b/>
                <w:bCs/>
              </w:rPr>
            </w:pPr>
            <w:r>
              <w:rPr>
                <w:b/>
                <w:bCs/>
              </w:rPr>
            </w:r>
          </w:p>
        </w:tc>
        <w:tc>
          <w:tcPr>
            <w:tcW w:w="8350" w:type="dxa"/>
            <w:gridSpan w:val="8"/>
            <w:tcBorders/>
          </w:tcPr>
          <w:p>
            <w:pPr>
              <w:pStyle w:val="RateBody"/>
              <w:widowControl/>
              <w:spacing w:before="0" w:after="200"/>
              <w:rPr>
                <w:b/>
                <w:bCs/>
              </w:rPr>
            </w:pPr>
            <w:r>
              <w:rPr>
                <w:b/>
                <w:bCs/>
              </w:rPr>
              <w:t xml:space="preserve">A CTA customer receiving consolidated CTA billing as specified above, will receive the following Avoided Cost Credit towards their transportation rate.  A dual commodity customer obtaining gas and electric service from a CTA (who is also an Energy Service Provider supplying electric service), where the CTA performs both gas and electric consolidated billing, will receive the CTA Avoided Cost Credit, in addition to the applicable electric credit for a dual -commodity customer. </w:t>
            </w:r>
          </w:p>
        </w:tc>
        <w:tc>
          <w:tcPr>
            <w:tcW w:w="265" w:type="dxa"/>
            <w:gridSpan w:val="2"/>
            <w:tcBorders/>
          </w:tcPr>
          <w:p>
            <w:pPr>
              <w:pStyle w:val="EditNotation"/>
              <w:widowControl/>
              <w:snapToGrid w:val="false"/>
              <w:rPr>
                <w:b/>
                <w:bCs/>
              </w:rPr>
            </w:pPr>
            <w:r>
              <w:rPr>
                <w:b/>
                <w:bCs/>
              </w:rPr>
            </w:r>
          </w:p>
        </w:tc>
      </w:tr>
      <w:tr>
        <w:trPr>
          <w:trHeight w:val="60" w:hRule="atLeast"/>
        </w:trPr>
        <w:tc>
          <w:tcPr>
            <w:tcW w:w="1800" w:type="dxa"/>
            <w:gridSpan w:val="3"/>
            <w:tcBorders/>
          </w:tcPr>
          <w:p>
            <w:pPr>
              <w:pStyle w:val="Normal"/>
              <w:snapToGrid w:val="false"/>
              <w:rPr>
                <w:b/>
                <w:bCs/>
              </w:rPr>
            </w:pPr>
            <w:r>
              <w:rPr>
                <w:b/>
                <w:bCs/>
              </w:rPr>
            </w:r>
          </w:p>
        </w:tc>
        <w:tc>
          <w:tcPr>
            <w:tcW w:w="8460" w:type="dxa"/>
            <w:gridSpan w:val="8"/>
            <w:tcBorders/>
          </w:tcPr>
          <w:p>
            <w:pPr>
              <w:pStyle w:val="Normal"/>
              <w:rPr>
                <w:b/>
                <w:bCs/>
              </w:rPr>
            </w:pPr>
            <w:r>
              <w:rPr>
                <w:b/>
                <w:bCs/>
              </w:rPr>
              <w:t xml:space="preserve">                                                         </w:t>
            </w:r>
            <w:r>
              <w:rPr>
                <w:b/>
                <w:bCs/>
              </w:rPr>
              <w:t>Avoided Cost Credit</w:t>
            </w:r>
          </w:p>
        </w:tc>
        <w:tc>
          <w:tcPr>
            <w:tcW w:w="153" w:type="dxa"/>
            <w:tcBorders/>
            <w:tcMar>
              <w:start w:w="0" w:type="dxa"/>
              <w:end w:w="0" w:type="dxa"/>
            </w:tcMar>
          </w:tcPr>
          <w:p>
            <w:pPr>
              <w:pStyle w:val="Normal"/>
              <w:snapToGrid w:val="false"/>
              <w:rPr>
                <w:b/>
                <w:bCs/>
              </w:rPr>
            </w:pPr>
            <w:r>
              <w:rPr>
                <w:b/>
                <w:bCs/>
              </w:rPr>
            </w:r>
          </w:p>
        </w:tc>
      </w:tr>
      <w:tr>
        <w:trPr>
          <w:trHeight w:val="60" w:hRule="atLeast"/>
        </w:trPr>
        <w:tc>
          <w:tcPr>
            <w:tcW w:w="1800" w:type="dxa"/>
            <w:gridSpan w:val="3"/>
            <w:tcBorders/>
          </w:tcPr>
          <w:p>
            <w:pPr>
              <w:pStyle w:val="Normal"/>
              <w:snapToGrid w:val="false"/>
              <w:rPr>
                <w:b/>
                <w:bCs/>
              </w:rPr>
            </w:pPr>
            <w:r>
              <w:rPr>
                <w:b/>
                <w:bCs/>
              </w:rPr>
            </w:r>
          </w:p>
        </w:tc>
        <w:tc>
          <w:tcPr>
            <w:tcW w:w="8460" w:type="dxa"/>
            <w:gridSpan w:val="8"/>
            <w:tcBorders/>
          </w:tcPr>
          <w:p>
            <w:pPr>
              <w:pStyle w:val="Normal"/>
              <w:rPr/>
            </w:pPr>
            <w:r>
              <w:rPr>
                <w:b/>
                <w:bCs/>
              </w:rPr>
              <w:t xml:space="preserve">                                                     </w:t>
            </w:r>
            <w:r>
              <w:rPr>
                <w:b/>
                <w:bCs/>
                <w:u w:val="single"/>
              </w:rPr>
              <w:t>($ per account per month</w:t>
            </w:r>
            <w:r>
              <w:rPr>
                <w:b/>
                <w:bCs/>
              </w:rPr>
              <w:t>)</w:t>
            </w:r>
          </w:p>
        </w:tc>
        <w:tc>
          <w:tcPr>
            <w:tcW w:w="153" w:type="dxa"/>
            <w:tcBorders/>
            <w:tcMar>
              <w:start w:w="0" w:type="dxa"/>
              <w:end w:w="0" w:type="dxa"/>
            </w:tcMar>
          </w:tcPr>
          <w:p>
            <w:pPr>
              <w:pStyle w:val="Normal"/>
              <w:snapToGrid w:val="false"/>
              <w:rPr>
                <w:b/>
                <w:bCs/>
              </w:rPr>
            </w:pPr>
            <w:r>
              <w:rPr>
                <w:b/>
                <w:bCs/>
              </w:rPr>
            </w:r>
          </w:p>
        </w:tc>
      </w:tr>
      <w:tr>
        <w:trPr/>
        <w:tc>
          <w:tcPr>
            <w:tcW w:w="1800" w:type="dxa"/>
            <w:gridSpan w:val="3"/>
            <w:tcBorders/>
          </w:tcPr>
          <w:p>
            <w:pPr>
              <w:pStyle w:val="Normal"/>
              <w:snapToGrid w:val="false"/>
              <w:rPr>
                <w:b/>
                <w:bCs/>
              </w:rPr>
            </w:pPr>
            <w:r>
              <w:rPr>
                <w:b/>
                <w:bCs/>
              </w:rPr>
            </w:r>
          </w:p>
        </w:tc>
        <w:tc>
          <w:tcPr>
            <w:tcW w:w="3780" w:type="dxa"/>
            <w:gridSpan w:val="3"/>
            <w:tcBorders/>
          </w:tcPr>
          <w:p>
            <w:pPr>
              <w:pStyle w:val="Normal"/>
              <w:snapToGrid w:val="false"/>
              <w:rPr>
                <w:b/>
                <w:bCs/>
              </w:rPr>
            </w:pPr>
            <w:r>
              <w:rPr>
                <w:b/>
                <w:bCs/>
              </w:rPr>
            </w:r>
          </w:p>
        </w:tc>
        <w:tc>
          <w:tcPr>
            <w:tcW w:w="4680" w:type="dxa"/>
            <w:gridSpan w:val="5"/>
            <w:tcBorders/>
          </w:tcPr>
          <w:p>
            <w:pPr>
              <w:pStyle w:val="Normal"/>
              <w:snapToGrid w:val="false"/>
              <w:rPr>
                <w:b/>
                <w:bCs/>
              </w:rPr>
            </w:pPr>
            <w:r>
              <w:rPr>
                <w:b/>
                <w:bCs/>
              </w:rPr>
            </w:r>
          </w:p>
        </w:tc>
        <w:tc>
          <w:tcPr>
            <w:tcW w:w="153" w:type="dxa"/>
            <w:tcBorders/>
            <w:tcMar>
              <w:start w:w="0" w:type="dxa"/>
              <w:end w:w="0" w:type="dxa"/>
            </w:tcMar>
          </w:tcPr>
          <w:p>
            <w:pPr>
              <w:pStyle w:val="Normal"/>
              <w:snapToGrid w:val="false"/>
              <w:rPr>
                <w:b/>
                <w:bCs/>
              </w:rPr>
            </w:pPr>
            <w:r>
              <w:rPr>
                <w:b/>
                <w:bCs/>
              </w:rPr>
            </w:r>
          </w:p>
        </w:tc>
      </w:tr>
      <w:tr>
        <w:trPr/>
        <w:tc>
          <w:tcPr>
            <w:tcW w:w="1800" w:type="dxa"/>
            <w:gridSpan w:val="3"/>
            <w:tcBorders/>
          </w:tcPr>
          <w:p>
            <w:pPr>
              <w:pStyle w:val="Normal"/>
              <w:snapToGrid w:val="false"/>
              <w:jc w:val="center"/>
              <w:rPr>
                <w:b/>
                <w:bCs/>
              </w:rPr>
            </w:pPr>
            <w:r>
              <w:rPr>
                <w:b/>
                <w:bCs/>
              </w:rPr>
            </w:r>
          </w:p>
        </w:tc>
        <w:tc>
          <w:tcPr>
            <w:tcW w:w="3780" w:type="dxa"/>
            <w:gridSpan w:val="3"/>
            <w:tcBorders/>
          </w:tcPr>
          <w:p>
            <w:pPr>
              <w:pStyle w:val="Normal"/>
              <w:rPr>
                <w:b/>
                <w:bCs/>
              </w:rPr>
            </w:pPr>
            <w:r>
              <w:rPr>
                <w:b/>
                <w:bCs/>
              </w:rPr>
              <w:t xml:space="preserve">                                        </w:t>
            </w:r>
            <w:r>
              <w:rPr>
                <w:b/>
                <w:bCs/>
                <w:u w:val="single"/>
              </w:rPr>
              <w:t xml:space="preserve"> </w:t>
            </w:r>
            <w:r>
              <w:rPr>
                <w:b/>
                <w:bCs/>
                <w:u w:val="single"/>
              </w:rPr>
              <w:t>Residential</w:t>
            </w:r>
          </w:p>
        </w:tc>
        <w:tc>
          <w:tcPr>
            <w:tcW w:w="4680" w:type="dxa"/>
            <w:gridSpan w:val="5"/>
            <w:tcBorders/>
          </w:tcPr>
          <w:p>
            <w:pPr>
              <w:pStyle w:val="Normal"/>
              <w:rPr>
                <w:b/>
                <w:bCs/>
              </w:rPr>
            </w:pPr>
            <w:r>
              <w:rPr>
                <w:b/>
                <w:bCs/>
              </w:rPr>
              <w:t xml:space="preserve">         </w:t>
            </w:r>
            <w:r>
              <w:rPr>
                <w:b/>
                <w:bCs/>
                <w:u w:val="single"/>
              </w:rPr>
              <w:t>Non-Residential</w:t>
            </w:r>
          </w:p>
        </w:tc>
        <w:tc>
          <w:tcPr>
            <w:tcW w:w="153" w:type="dxa"/>
            <w:tcBorders/>
            <w:tcMar>
              <w:start w:w="0" w:type="dxa"/>
              <w:end w:w="0" w:type="dxa"/>
            </w:tcMar>
          </w:tcPr>
          <w:p>
            <w:pPr>
              <w:pStyle w:val="Normal"/>
              <w:snapToGrid w:val="false"/>
              <w:rPr>
                <w:b/>
                <w:bCs/>
              </w:rPr>
            </w:pPr>
            <w:r>
              <w:rPr>
                <w:b/>
                <w:bCs/>
              </w:rPr>
            </w:r>
          </w:p>
        </w:tc>
      </w:tr>
      <w:tr>
        <w:trPr/>
        <w:tc>
          <w:tcPr>
            <w:tcW w:w="1800" w:type="dxa"/>
            <w:gridSpan w:val="3"/>
            <w:tcBorders/>
          </w:tcPr>
          <w:p>
            <w:pPr>
              <w:pStyle w:val="Normal"/>
              <w:snapToGrid w:val="false"/>
              <w:rPr>
                <w:b/>
                <w:bCs/>
              </w:rPr>
            </w:pPr>
            <w:r>
              <w:rPr>
                <w:b/>
                <w:bCs/>
              </w:rPr>
            </w:r>
          </w:p>
        </w:tc>
        <w:tc>
          <w:tcPr>
            <w:tcW w:w="3780" w:type="dxa"/>
            <w:gridSpan w:val="3"/>
            <w:tcBorders/>
          </w:tcPr>
          <w:p>
            <w:pPr>
              <w:pStyle w:val="Normal"/>
              <w:rPr>
                <w:b/>
                <w:bCs/>
              </w:rPr>
            </w:pPr>
            <w:r>
              <w:rPr>
                <w:b/>
                <w:bCs/>
              </w:rPr>
              <w:t xml:space="preserve">                                              </w:t>
            </w:r>
            <w:r>
              <w:rPr>
                <w:b/>
                <w:bCs/>
              </w:rPr>
              <w:t>$0.71</w:t>
            </w:r>
          </w:p>
        </w:tc>
        <w:tc>
          <w:tcPr>
            <w:tcW w:w="4680" w:type="dxa"/>
            <w:gridSpan w:val="5"/>
            <w:tcBorders/>
          </w:tcPr>
          <w:p>
            <w:pPr>
              <w:pStyle w:val="Normal"/>
              <w:rPr>
                <w:b/>
                <w:bCs/>
              </w:rPr>
            </w:pPr>
            <w:r>
              <w:rPr>
                <w:b/>
                <w:bCs/>
              </w:rPr>
              <w:t xml:space="preserve">                 </w:t>
            </w:r>
            <w:r>
              <w:rPr>
                <w:b/>
                <w:bCs/>
              </w:rPr>
              <w:t>$1.00</w:t>
            </w:r>
          </w:p>
        </w:tc>
        <w:tc>
          <w:tcPr>
            <w:tcW w:w="153" w:type="dxa"/>
            <w:tcBorders/>
            <w:tcMar>
              <w:start w:w="0" w:type="dxa"/>
              <w:end w:w="0" w:type="dxa"/>
            </w:tcMar>
          </w:tcPr>
          <w:p>
            <w:pPr>
              <w:pStyle w:val="Normal"/>
              <w:snapToGrid w:val="false"/>
              <w:rPr>
                <w:b/>
                <w:bCs/>
              </w:rPr>
            </w:pPr>
            <w:r>
              <w:rPr>
                <w:b/>
                <w:bCs/>
              </w:rPr>
            </w:r>
          </w:p>
        </w:tc>
      </w:tr>
      <w:tr>
        <w:trPr/>
        <w:tc>
          <w:tcPr>
            <w:tcW w:w="1816" w:type="dxa"/>
            <w:gridSpan w:val="4"/>
            <w:tcBorders/>
          </w:tcPr>
          <w:p>
            <w:pPr>
              <w:pStyle w:val="Normal"/>
              <w:snapToGrid w:val="false"/>
              <w:rPr>
                <w:b/>
                <w:bCs/>
              </w:rPr>
            </w:pPr>
            <w:r>
              <w:rPr>
                <w:b/>
                <w:bCs/>
              </w:rPr>
            </w:r>
          </w:p>
          <w:p>
            <w:pPr>
              <w:pStyle w:val="Normal"/>
              <w:rPr>
                <w:b/>
                <w:bCs/>
              </w:rPr>
            </w:pPr>
            <w:r>
              <w:rPr>
                <w:b/>
                <w:bCs/>
              </w:rPr>
            </w:r>
          </w:p>
          <w:p>
            <w:pPr>
              <w:pStyle w:val="Normal"/>
              <w:rPr>
                <w:b/>
                <w:bCs/>
              </w:rPr>
            </w:pPr>
            <w:r>
              <w:rPr>
                <w:b/>
                <w:bCs/>
              </w:rPr>
              <w:t>CALCULATION AND DELIVERY OF AVOIDED COST CREDITS:</w:t>
            </w:r>
          </w:p>
          <w:p>
            <w:pPr>
              <w:pStyle w:val="Normal"/>
              <w:ind w:start="1725" w:end="0"/>
              <w:rPr>
                <w:b/>
                <w:bCs/>
              </w:rPr>
            </w:pPr>
            <w:r>
              <w:rPr>
                <w:b/>
                <w:bCs/>
              </w:rPr>
            </w:r>
          </w:p>
          <w:p>
            <w:pPr>
              <w:pStyle w:val="RateBody"/>
              <w:widowControl/>
              <w:spacing w:before="0" w:after="0"/>
              <w:rPr>
                <w:b/>
                <w:bCs/>
              </w:rPr>
            </w:pPr>
            <w:r>
              <w:rPr>
                <w:b/>
                <w:bCs/>
              </w:rPr>
            </w:r>
          </w:p>
        </w:tc>
        <w:tc>
          <w:tcPr>
            <w:tcW w:w="8312" w:type="dxa"/>
            <w:gridSpan w:val="4"/>
            <w:tcBorders/>
          </w:tcPr>
          <w:p>
            <w:pPr>
              <w:pStyle w:val="RateBody"/>
              <w:widowControl/>
              <w:snapToGrid w:val="false"/>
              <w:rPr>
                <w:b/>
                <w:bCs/>
              </w:rPr>
            </w:pPr>
            <w:r>
              <w:rPr>
                <w:b/>
                <w:bCs/>
              </w:rPr>
            </w:r>
          </w:p>
          <w:p>
            <w:pPr>
              <w:pStyle w:val="Normal"/>
              <w:rPr/>
            </w:pPr>
            <w:r>
              <w:rPr>
                <w:b/>
                <w:bCs/>
              </w:rPr>
              <w:t>PG&amp;E will determine which customers are eligible for Avoided Cost Credits on or about the fifteenth (15</w:t>
            </w:r>
            <w:r>
              <w:rPr>
                <w:b/>
                <w:bCs/>
                <w:vertAlign w:val="superscript"/>
              </w:rPr>
              <w:t>th</w:t>
            </w:r>
            <w:r>
              <w:rPr>
                <w:b/>
                <w:bCs/>
              </w:rPr>
              <w:t>) calendar day of each month.  Avoided Cost Credits for a given calendar month will be calculated based on this determination of eligible customers.</w:t>
            </w:r>
          </w:p>
          <w:p>
            <w:pPr>
              <w:pStyle w:val="Normal"/>
              <w:rPr>
                <w:b/>
                <w:bCs/>
              </w:rPr>
            </w:pPr>
            <w:r>
              <w:rPr>
                <w:b/>
                <w:bCs/>
              </w:rPr>
            </w:r>
          </w:p>
          <w:p>
            <w:pPr>
              <w:pStyle w:val="RateBody"/>
              <w:widowControl/>
              <w:spacing w:before="0" w:after="200"/>
              <w:rPr>
                <w:b/>
                <w:bCs/>
              </w:rPr>
            </w:pPr>
            <w:r>
              <w:rPr>
                <w:b/>
                <w:bCs/>
              </w:rPr>
              <w:t>PG&amp;E will deliver Avoided Cost Credits to qualifying customers via the customers' respective CTA.  Avoided Cost Credits will be paid to CTAs at least semiannually.  Should it be determined that Avoided Cost Credits due to a customer were underpaid, PG&amp;E’s cost responsibility for the underpayment will be the difference between the amount actually owed to the customer and the amount already paid, if any.  At such time as PG&amp;E is able to reflect the Avoided Cost Credits as a line item on PG&amp;E's customer-specific billing data provided to CTAs, such credits will be reflected on the consolidated bill the CTA sends to these customers.</w:t>
            </w:r>
          </w:p>
        </w:tc>
        <w:tc>
          <w:tcPr>
            <w:tcW w:w="285" w:type="dxa"/>
            <w:gridSpan w:val="4"/>
            <w:tcBorders/>
            <w:tcMar>
              <w:start w:w="0" w:type="dxa"/>
              <w:end w:w="0" w:type="dxa"/>
            </w:tcMar>
          </w:tcPr>
          <w:p>
            <w:pPr>
              <w:pStyle w:val="Normal"/>
              <w:snapToGrid w:val="false"/>
              <w:rPr>
                <w:b/>
                <w:bCs/>
              </w:rPr>
            </w:pPr>
            <w:r>
              <w:rPr>
                <w:b/>
                <w:bCs/>
              </w:rPr>
            </w:r>
          </w:p>
        </w:tc>
      </w:tr>
    </w:tbl>
    <w:p>
      <w:pPr>
        <w:pStyle w:val="Normal"/>
        <w:widowControl/>
        <w:rPr>
          <w:b/>
          <w:bCs/>
        </w:rPr>
      </w:pPr>
      <w:r>
        <w:rPr>
          <w:b/>
          <w:bCs/>
        </w:rPr>
      </w:r>
    </w:p>
    <w:p>
      <w:pPr>
        <w:pStyle w:val="Normal"/>
        <w:widowControl/>
        <w:rPr>
          <w:b/>
          <w:bCs/>
        </w:rPr>
      </w:pPr>
      <w:r>
        <w:rPr>
          <w:b/>
          <w:bCs/>
        </w:rPr>
      </w:r>
    </w:p>
    <w:p>
      <w:pPr>
        <w:pStyle w:val="Normal"/>
        <w:widowControl/>
        <w:rPr>
          <w:b/>
          <w:bCs/>
        </w:rPr>
      </w:pPr>
      <w:r>
        <w:rPr>
          <w:b/>
          <w:bCs/>
        </w:rPr>
      </w:r>
    </w:p>
    <w:p>
      <w:pPr>
        <w:pStyle w:val="Normal"/>
        <w:widowControl/>
        <w:rPr>
          <w:b/>
          <w:bCs/>
        </w:rPr>
      </w:pPr>
      <w:r>
        <w:rPr>
          <w:b/>
          <w:bCs/>
        </w:rPr>
      </w:r>
    </w:p>
    <w:p>
      <w:pPr>
        <w:pStyle w:val="Normal"/>
        <w:widowControl/>
        <w:rPr>
          <w:b/>
          <w:bCs/>
        </w:rPr>
      </w:pPr>
      <w:r>
        <w:rPr>
          <w:b/>
          <w:bCs/>
        </w:rPr>
      </w:r>
    </w:p>
    <w:p>
      <w:pPr>
        <w:pStyle w:val="Normal"/>
        <w:widowControl/>
        <w:rPr>
          <w:b/>
          <w:bCs/>
        </w:rPr>
      </w:pPr>
      <w:r>
        <w:rPr>
          <w:b/>
          <w:bCs/>
        </w:rPr>
        <w:t>__________________________</w:t>
      </w:r>
    </w:p>
    <w:p>
      <w:pPr>
        <w:pStyle w:val="Normal"/>
        <w:widowControl/>
        <w:rPr>
          <w:b/>
          <w:bCs/>
        </w:rPr>
      </w:pPr>
      <w:r>
        <w:rPr>
          <w:b/>
          <w:bCs/>
        </w:rPr>
        <w:t>*   The tariffs referred to in this schedule are part of PG&amp;E’s gas tariffs.  Copies are available on PG&amp;E’s web site, www.pge.com, or at local offices.</w:t>
      </w:r>
    </w:p>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9"/>
        <w:tab w:val="left" w:pos="5040" w:leader="none"/>
        <w:tab w:val="left" w:pos="5940" w:leader="none"/>
        <w:tab w:val="left" w:pos="7020" w:leader="none"/>
        <w:tab w:val="right" w:pos="9990" w:leader="none"/>
      </w:tabs>
      <w:spacing w:lineRule="atLeast" w:line="180"/>
      <w:ind w:start="864" w:end="0"/>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709"/>
              <w:tab w:val="left" w:pos="5040" w:leader="none"/>
              <w:tab w:val="left" w:pos="5940" w:leader="none"/>
              <w:tab w:val="left" w:pos="7020" w:leader="none"/>
              <w:tab w:val="right" w:pos="9990" w:leader="none"/>
            </w:tabs>
            <w:spacing w:lineRule="atLeast" w:line="180"/>
            <w:rPr>
              <w:sz w:val="24"/>
              <w:szCs w:val="24"/>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 Rules of Evidence, and Section 1152 of the California Evidence Code</w:t>
          </w:r>
        </w:p>
      </w:tc>
    </w:tr>
  </w:tbl>
  <w:p>
    <w:pPr>
      <w:pStyle w:val="Normal"/>
      <w:widowControl/>
      <w:tabs>
        <w:tab w:val="clear" w:pos="709"/>
        <w:tab w:val="left" w:pos="5040" w:leader="none"/>
        <w:tab w:val="left" w:pos="5940" w:leader="none"/>
        <w:tab w:val="left" w:pos="7020" w:leader="none"/>
        <w:tab w:val="right" w:pos="9990" w:leader="none"/>
      </w:tabs>
      <w:spacing w:lineRule="atLeast" w:line="180"/>
      <w:ind w:start="864" w:end="0"/>
      <w:jc w:val="end"/>
      <w:rPr>
        <w:sz w:val="24"/>
        <w:szCs w:val="24"/>
      </w:rPr>
    </w:pPr>
    <w:r>
      <w:rPr>
        <w:sz w:val="24"/>
        <w:szCs w:val="24"/>
      </w:rPr>
      <w:t>Page 1 of 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709"/>
        <w:tab w:val="left" w:pos="288" w:leader="none"/>
      </w:tabs>
      <w:spacing w:lineRule="exact" w:line="480" w:before="0" w:after="1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spacing w:before="0" w:after="180"/>
      <w:ind w:hanging="432" w:start="3024" w:end="0"/>
      <w:outlineLvl w:val="6"/>
    </w:pPr>
    <w:rPr>
      <w:rFonts w:ascii="Helvetica;Arial" w:hAnsi="Helvetica;Arial" w:eastAsia="Helvetica;Arial" w:cs="Helvetica;Arial"/>
      <w:u w:val="single"/>
    </w:rPr>
  </w:style>
  <w:style w:type="paragraph" w:styleId="Heading8">
    <w:name w:val="heading 8"/>
    <w:basedOn w:val="Normal"/>
    <w:next w:val="Normal"/>
    <w:qFormat/>
    <w:pPr>
      <w:keepNext w:val="true"/>
      <w:numPr>
        <w:ilvl w:val="7"/>
        <w:numId w:val="1"/>
      </w:numPr>
      <w:spacing w:before="0" w:after="180"/>
      <w:ind w:hanging="720" w:start="3744" w:end="0"/>
      <w:outlineLvl w:val="7"/>
    </w:pPr>
    <w:rPr>
      <w:rFonts w:ascii="Helvetica;Arial" w:hAnsi="Helvetica;Arial" w:eastAsia="Helvetica;Arial" w:cs="Helvetica;Arial"/>
      <w:u w:val="single"/>
    </w:rPr>
  </w:style>
  <w:style w:type="paragraph" w:styleId="Heading9">
    <w:name w:val="heading 9"/>
    <w:basedOn w:val="Normal"/>
    <w:next w:val="Normal"/>
    <w:qFormat/>
    <w:pPr>
      <w:keepNext w:val="true"/>
      <w:numPr>
        <w:ilvl w:val="8"/>
        <w:numId w:val="1"/>
      </w:numPr>
      <w:spacing w:before="0" w:after="180"/>
      <w:ind w:hanging="720" w:start="4464" w:end="0"/>
      <w:outlineLvl w:val="8"/>
    </w:pPr>
    <w:rPr>
      <w:rFonts w:ascii="Helvetica;Arial" w:hAnsi="Helvetica;Arial" w:eastAsia="Helvetica;Arial" w:cs="Helvetica;Arial"/>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spacing w:before="0" w:after="180"/>
    </w:pPr>
    <w:rPr/>
  </w:style>
  <w:style w:type="paragraph" w:styleId="FootnoteText">
    <w:name w:val="footnote text"/>
    <w:basedOn w:val="Normal"/>
    <w:pPr>
      <w:spacing w:lineRule="exact" w:line="200" w:before="0" w:after="200"/>
      <w:ind w:hanging="432" w:start="432" w:end="0"/>
    </w:pPr>
    <w:rPr/>
  </w:style>
  <w:style w:type="paragraph" w:styleId="Header">
    <w:name w:val="header"/>
    <w:basedOn w:val="Normal"/>
    <w:pPr>
      <w:tabs>
        <w:tab w:val="clear" w:pos="709"/>
        <w:tab w:val="center" w:pos="4320" w:leader="none"/>
        <w:tab w:val="right" w:pos="8640" w:leader="none"/>
      </w:tabs>
      <w:spacing w:before="0" w:after="180"/>
      <w:jc w:val="center"/>
    </w:pPr>
    <w:rPr/>
  </w:style>
  <w:style w:type="paragraph" w:styleId="Table">
    <w:name w:val="Table"/>
    <w:basedOn w:val="Normal"/>
    <w:qFormat/>
    <w:pPr>
      <w:tabs>
        <w:tab w:val="clear" w:pos="709"/>
        <w:tab w:val="left" w:pos="432" w:leader="none"/>
      </w:tabs>
      <w:spacing w:lineRule="exact" w:line="200"/>
    </w:pPr>
    <w:rPr/>
  </w:style>
  <w:style w:type="paragraph" w:styleId="RateBody">
    <w:name w:val="Rate Body"/>
    <w:basedOn w:val="Normal"/>
    <w:qFormat/>
    <w:pPr>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TOCLine">
    <w:name w:val="TOC Line"/>
    <w:basedOn w:val="Normal"/>
    <w:qFormat/>
    <w:pPr>
      <w:tabs>
        <w:tab w:val="clear" w:pos="709"/>
        <w:tab w:val="right" w:pos="7546" w:leader="dot"/>
      </w:tabs>
      <w:ind w:hanging="144" w:start="144" w:end="0"/>
    </w:pPr>
    <w:rPr/>
  </w:style>
  <w:style w:type="paragraph" w:styleId="TOCHeading">
    <w:name w:val="TOC Heading"/>
    <w:basedOn w:val="Normal"/>
    <w:qFormat/>
    <w:pPr>
      <w:tabs>
        <w:tab w:val="clear" w:pos="709"/>
        <w:tab w:val="center" w:pos="4320" w:leader="none"/>
        <w:tab w:val="right" w:pos="8784" w:leader="none"/>
      </w:tabs>
      <w:suppressAutoHyphens w:val="false"/>
      <w:spacing w:lineRule="exact" w:line="200"/>
      <w:jc w:val="center"/>
    </w:pPr>
    <w:rPr/>
  </w:style>
  <w:style w:type="paragraph" w:styleId="Schedule">
    <w:name w:val="Schedule"/>
    <w:basedOn w:val="Normal"/>
    <w:qFormat/>
    <w:pPr>
      <w:suppressAutoHyphens w:val="false"/>
      <w:spacing w:lineRule="exact" w:line="200"/>
      <w:ind w:hanging="0" w:start="288" w:end="0"/>
    </w:pPr>
    <w:rPr/>
  </w:style>
  <w:style w:type="paragraph" w:styleId="TOCTitle">
    <w:name w:val="TOC Title"/>
    <w:basedOn w:val="Normal"/>
    <w:qFormat/>
    <w:pPr>
      <w:suppressAutoHyphens w:val="false"/>
      <w:spacing w:lineRule="exact" w:line="200" w:before="0" w:after="20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2000-05-25T15:28:00Z</dcterms:created>
  <dc:creator>A Valued Microsoft Customer</dc:creator>
  <dc:description/>
  <dc:language>en-CA</dc:language>
  <cp:lastModifiedBy>A Valued Microsoft Customer</cp:lastModifiedBy>
  <cp:lastPrinted>2000-03-28T09:21:00Z</cp:lastPrinted>
  <dcterms:modified xsi:type="dcterms:W3CDTF">2000-05-25T15:28:00Z</dcterms:modified>
  <cp:revision>2</cp:revision>
  <dc:subject/>
  <dc:title>RATE TITLE_</dc:title>
</cp:coreProperties>
</file>