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Procedure Change Description</w:t>
      </w:r>
    </w:p>
    <w:p>
      <w:pPr>
        <w:pStyle w:val="Heading"/>
        <w:rPr/>
      </w:pPr>
      <w:r>
        <w:rPr/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Procedure Number/Name:</w:t>
      </w:r>
      <w:r>
        <w:rPr>
          <w:rFonts w:cs="Courier New" w:ascii="Courier New" w:hAnsi="Courier New"/>
        </w:rPr>
        <w:t xml:space="preserve"> </w:t>
        <w:tab/>
        <w:t xml:space="preserve">G-202, Real-Time Over-generation Procedure 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Version</w:t>
      </w:r>
      <w:r>
        <w:rPr>
          <w:rFonts w:cs="Courier New" w:ascii="Courier New" w:hAnsi="Courier New"/>
        </w:rPr>
        <w:t>:</w:t>
        <w:tab/>
        <w:t>3.1</w:t>
      </w:r>
    </w:p>
    <w:p>
      <w:pPr>
        <w:pStyle w:val="Normal"/>
        <w:ind w:hanging="3960" w:start="3960" w:end="0"/>
        <w:rPr/>
      </w:pPr>
      <w:r>
        <w:rPr>
          <w:rFonts w:cs="Courier New" w:ascii="Courier New" w:hAnsi="Courier New"/>
          <w:b/>
          <w:sz w:val="28"/>
        </w:rPr>
        <w:t>Date:</w:t>
        <w:tab/>
      </w:r>
      <w:r>
        <w:rPr>
          <w:rFonts w:cs="Courier New" w:ascii="Courier New" w:hAnsi="Courier New"/>
        </w:rPr>
        <w:t>TBD</w:t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Reason for Changes: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The old procedure contained no direction for CERS to sell excess power during over-generation conditions.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Annual review   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</w:r>
    </w:p>
    <w:p>
      <w:pPr>
        <w:pStyle w:val="Normal"/>
        <w:rPr/>
      </w:pPr>
      <w:r>
        <w:rPr>
          <w:rFonts w:cs="Courier New" w:ascii="Courier New" w:hAnsi="Courier New"/>
          <w:b/>
          <w:sz w:val="28"/>
        </w:rPr>
        <w:t>Description of Changes</w:t>
      </w:r>
      <w:r>
        <w:rPr>
          <w:rFonts w:cs="Courier New" w:ascii="Courier New" w:hAnsi="Courier New"/>
        </w:rPr>
        <w:t xml:space="preserve">: 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Added references that directed CERS to sell excess energy when all other market options have been exhausted.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Minor changes in wording and eliminated redundancy.</w:t>
      </w:r>
    </w:p>
    <w:p>
      <w:pPr>
        <w:pStyle w:val="Normal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cs="Courier New" w:ascii="Courier New" w:hAnsi="Courier New"/>
        </w:rPr>
        <w:t>Corrected the time that the GRC updates the Demand forecast for the Trading Day from 0600 to 0900.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urier New" w:hAnsi="Courier New" w:cs="Courier New"/>
      <w:b/>
      <w:sz w:val="32"/>
    </w:rPr>
  </w:style>
  <w:style w:type="paragraph" w:styleId="BodyText">
    <w:name w:val="Body Text"/>
    <w:basedOn w:val="Normal"/>
    <w:pPr>
      <w:spacing w:before="120" w:after="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2001-09-17T12:02:00Z</dcterms:created>
  <dc:creator>MPeterson</dc:creator>
  <dc:description/>
  <dc:language>en-CA</dc:language>
  <cp:lastModifiedBy>mpeterson</cp:lastModifiedBy>
  <dcterms:modified xsi:type="dcterms:W3CDTF">2001-09-21T19:24:00Z</dcterms:modified>
  <cp:revision>5</cp:revision>
  <dc:subject/>
  <dc:title>Procedure Change Description</dc:title>
</cp:coreProperties>
</file>