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1"/>
        </w:rPr>
      </w:pPr>
      <w:r>
        <w:rPr>
          <w:sz w:val="31"/>
        </w:rPr>
        <w:t>Grant W. Zimmerman</w:t>
      </w:r>
    </w:p>
    <w:p>
      <w:pPr>
        <w:pStyle w:val="Subtitle"/>
        <w:tabs>
          <w:tab w:val="clear" w:pos="720"/>
          <w:tab w:val="right" w:pos="9720" w:leader="none"/>
        </w:tabs>
        <w:jc w:val="start"/>
        <w:rPr>
          <w:sz w:val="18"/>
        </w:rPr>
      </w:pPr>
      <w:r>
        <w:rPr>
          <w:sz w:val="18"/>
        </w:rPr>
        <w:t>2300 West Alabama St.</w:t>
        <w:tab/>
      </w:r>
    </w:p>
    <w:p>
      <w:pPr>
        <w:pStyle w:val="Heading5"/>
        <w:tabs>
          <w:tab w:val="clear" w:pos="720"/>
          <w:tab w:val="right" w:pos="9720" w:leader="none"/>
        </w:tabs>
        <w:ind w:hanging="0" w:start="0" w:end="-90"/>
        <w:rPr/>
      </w:pPr>
      <w:r>
        <w:rPr/>
        <w:t>Houston, TX 77098</w:t>
        <w:tab/>
        <w:t>(713) 443-4120</w:t>
      </w:r>
    </w:p>
    <w:p>
      <w:pPr>
        <w:pStyle w:val="Normal"/>
        <w:tabs>
          <w:tab w:val="clear" w:pos="720"/>
          <w:tab w:val="right" w:pos="9720" w:leader="none"/>
        </w:tabs>
        <w:ind w:end="-90"/>
        <w:rPr>
          <w:b/>
          <w:sz w:val="21"/>
        </w:rPr>
      </w:pPr>
      <w:r>
        <w:rPr>
          <w:b/>
          <w:sz w:val="18"/>
        </w:rPr>
        <w:t>(713) 524-4140</w:t>
        <w:tab/>
        <w:t>grant.zimmerman@enron.com</w:t>
      </w:r>
    </w:p>
    <w:p>
      <w:pPr>
        <w:pStyle w:val="Normal"/>
        <w:tabs>
          <w:tab w:val="clear" w:pos="720"/>
          <w:tab w:val="right" w:pos="9270" w:leader="none"/>
        </w:tabs>
        <w:rPr>
          <w:b/>
          <w:sz w:val="21"/>
          <w:lang w:val="en-CA" w:eastAsia="en-CA"/>
        </w:rPr>
      </w:pPr>
      <w:r>
        <w:rPr>
          <w:b/>
          <w:sz w:val="21"/>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74930</wp:posOffset>
                </wp:positionV>
                <wp:extent cx="6181725" cy="0"/>
                <wp:effectExtent l="0" t="11430" r="0" b="11430"/>
                <wp:wrapNone/>
                <wp:docPr id="1" name=""/>
                <a:graphic xmlns:a="http://schemas.openxmlformats.org/drawingml/2006/main">
                  <a:graphicData uri="http://schemas.microsoft.com/office/word/2010/wordprocessingShape">
                    <wps:wsp>
                      <wps:cNvSpPr/>
                      <wps:spPr>
                        <a:xfrm>
                          <a:off x="0" y="0"/>
                          <a:ext cx="6181560" cy="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0pt,5.9pt" to="486.7pt,5.9pt" stroked="t" o:allowincell="f" style="position:absolute">
                <v:stroke color="black" weight="22320" joinstyle="miter" endcap="flat"/>
                <v:fill o:detectmouseclick="t" on="false"/>
                <w10:wrap type="none"/>
              </v:line>
            </w:pict>
          </mc:Fallback>
        </mc:AlternateContent>
      </w:r>
    </w:p>
    <w:p>
      <w:pPr>
        <w:pStyle w:val="Normal"/>
        <w:rPr>
          <w:b/>
          <w:sz w:val="21"/>
        </w:rPr>
      </w:pPr>
      <w:r>
        <w:rPr>
          <w:b/>
          <w:sz w:val="21"/>
        </w:rPr>
      </w:r>
    </w:p>
    <w:p>
      <w:pPr>
        <w:pStyle w:val="Heading2"/>
        <w:tabs>
          <w:tab w:val="left" w:pos="1800" w:leader="none"/>
          <w:tab w:val="right" w:pos="9360" w:leader="none"/>
        </w:tabs>
        <w:ind w:hanging="0" w:start="0"/>
        <w:jc w:val="center"/>
        <w:rPr>
          <w:sz w:val="22"/>
        </w:rPr>
      </w:pPr>
      <w:r>
        <w:rPr>
          <w:sz w:val="22"/>
        </w:rPr>
        <w:t>EXPERIENCE</w:t>
      </w:r>
    </w:p>
    <w:p>
      <w:pPr>
        <w:pStyle w:val="Heading2"/>
        <w:tabs>
          <w:tab w:val="left" w:pos="1800" w:leader="none"/>
          <w:tab w:val="right" w:pos="9360" w:leader="none"/>
        </w:tabs>
        <w:ind w:hanging="0" w:start="0"/>
        <w:rPr>
          <w:sz w:val="22"/>
        </w:rPr>
      </w:pPr>
      <w:r>
        <w:rPr>
          <w:sz w:val="22"/>
        </w:rPr>
      </w:r>
    </w:p>
    <w:p>
      <w:pPr>
        <w:pStyle w:val="Heading2"/>
        <w:tabs>
          <w:tab w:val="clear" w:pos="1800"/>
          <w:tab w:val="left" w:pos="0" w:leader="none"/>
          <w:tab w:val="right" w:pos="9720" w:leader="none"/>
        </w:tabs>
        <w:ind w:hanging="0" w:start="0"/>
        <w:rPr/>
      </w:pPr>
      <w:r>
        <w:rPr/>
        <w:t>Enron Broadband Services,  Houston, TX</w:t>
        <w:tab/>
        <w:t>February, 2000 - Present</w:t>
      </w:r>
    </w:p>
    <w:p>
      <w:pPr>
        <w:pStyle w:val="Heading6"/>
        <w:tabs>
          <w:tab w:val="left" w:pos="0" w:leader="none"/>
          <w:tab w:val="left" w:pos="810" w:leader="none"/>
          <w:tab w:val="left" w:pos="900" w:leader="none"/>
          <w:tab w:val="right" w:pos="9720" w:leader="none"/>
        </w:tabs>
        <w:ind w:hanging="0" w:start="0"/>
        <w:rPr/>
      </w:pPr>
      <w:r>
        <w:rPr/>
        <w:t xml:space="preserve">Manager – </w:t>
      </w:r>
      <w:r>
        <w:rPr>
          <w:iCs/>
        </w:rPr>
        <w:t>Southeast/Northeast Long Haul Risk Books</w:t>
      </w:r>
      <w:r>
        <w:rPr/>
        <w:tab/>
      </w:r>
      <w:r>
        <w:rPr>
          <w:i w:val="false"/>
          <w:iCs/>
        </w:rPr>
        <w:t>August, 2001 - Present</w:t>
      </w:r>
    </w:p>
    <w:p>
      <w:pPr>
        <w:pStyle w:val="Heading6"/>
        <w:tabs>
          <w:tab w:val="clear" w:pos="810"/>
          <w:tab w:val="clear" w:pos="900"/>
          <w:tab w:val="right" w:pos="9720" w:leader="none"/>
        </w:tabs>
        <w:ind w:hanging="0" w:start="0"/>
        <w:rPr/>
      </w:pPr>
      <w:r>
        <w:rPr>
          <w:iCs/>
        </w:rPr>
        <w:t>Associate – Southeast/Northeast Long Haul Risk Books</w:t>
        <w:tab/>
      </w:r>
      <w:r>
        <w:rPr>
          <w:i w:val="false"/>
        </w:rPr>
        <w:t>February, 2000 - July, 2001</w:t>
      </w:r>
    </w:p>
    <w:p>
      <w:pPr>
        <w:pStyle w:val="Normal"/>
        <w:numPr>
          <w:ilvl w:val="0"/>
          <w:numId w:val="7"/>
        </w:numPr>
        <w:rPr/>
      </w:pPr>
      <w:r>
        <w:rPr/>
        <w:t>Saved $4 million customer contract for bandwidth on delinquent Houston to New Orleans build.  Project managed and delivered dark fiber and wavelength services on 400 mile route, renegotiated customer contract, and saved customer relationship for EBS.</w:t>
      </w:r>
    </w:p>
    <w:p>
      <w:pPr>
        <w:pStyle w:val="Normal"/>
        <w:numPr>
          <w:ilvl w:val="0"/>
          <w:numId w:val="7"/>
        </w:numPr>
        <w:rPr/>
      </w:pPr>
      <w:r>
        <w:rPr/>
        <w:t>Managed position and P/L for 100 curves and over 400 transactions including forwards, swaps, and options.</w:t>
      </w:r>
    </w:p>
    <w:p>
      <w:pPr>
        <w:pStyle w:val="Normal"/>
        <w:numPr>
          <w:ilvl w:val="0"/>
          <w:numId w:val="7"/>
        </w:numPr>
        <w:rPr/>
      </w:pPr>
      <w:r>
        <w:rPr/>
        <w:t>Supervised physical bandwidth exposure for structured transactions with i2, Global Crossing, and Qwest.  Valued and delivered bandwidth in transactions of more than $300 million in notional value.</w:t>
      </w:r>
    </w:p>
    <w:p>
      <w:pPr>
        <w:pStyle w:val="Normal"/>
        <w:numPr>
          <w:ilvl w:val="0"/>
          <w:numId w:val="7"/>
        </w:numPr>
        <w:rPr/>
      </w:pPr>
      <w:r>
        <w:rPr/>
        <w:t xml:space="preserve">Developed engineering-level technical knowledge of physical network and delivery of broadband services including Internet Transit, and multiple point-to-point bandwidth products.   Created market knowledge and database of all significant carriers in United States. </w:t>
      </w:r>
    </w:p>
    <w:p>
      <w:pPr>
        <w:pStyle w:val="Heading2"/>
        <w:tabs>
          <w:tab w:val="clear" w:pos="1800"/>
          <w:tab w:val="left" w:pos="0" w:leader="none"/>
          <w:tab w:val="right" w:pos="9720" w:leader="none"/>
        </w:tabs>
        <w:ind w:hanging="0" w:start="0"/>
        <w:rPr/>
      </w:pPr>
      <w:r>
        <w:rPr/>
      </w:r>
    </w:p>
    <w:p>
      <w:pPr>
        <w:pStyle w:val="Heading2"/>
        <w:tabs>
          <w:tab w:val="clear" w:pos="1800"/>
          <w:tab w:val="left" w:pos="0" w:leader="none"/>
          <w:tab w:val="right" w:pos="9720" w:leader="none"/>
        </w:tabs>
        <w:ind w:hanging="0" w:start="0"/>
        <w:rPr/>
      </w:pPr>
      <w:r>
        <w:rPr/>
        <w:t>Enron North America,  Houston, TX</w:t>
        <w:tab/>
        <w:t>August, 1998 – January, 2000</w:t>
      </w:r>
    </w:p>
    <w:p>
      <w:pPr>
        <w:pStyle w:val="Heading6"/>
        <w:tabs>
          <w:tab w:val="left" w:pos="0" w:leader="none"/>
          <w:tab w:val="left" w:pos="810" w:leader="none"/>
          <w:tab w:val="left" w:pos="900" w:leader="none"/>
        </w:tabs>
        <w:ind w:hanging="0" w:start="0"/>
        <w:rPr/>
      </w:pPr>
      <w:r>
        <w:rPr/>
        <w:t>Analyst – ENA Treasury</w:t>
      </w:r>
    </w:p>
    <w:p>
      <w:pPr>
        <w:pStyle w:val="Normal"/>
        <w:numPr>
          <w:ilvl w:val="0"/>
          <w:numId w:val="4"/>
        </w:numPr>
        <w:tabs>
          <w:tab w:val="clear" w:pos="720"/>
          <w:tab w:val="left" w:pos="360" w:leader="none"/>
        </w:tabs>
        <w:rPr/>
      </w:pPr>
      <w:r>
        <w:rPr/>
        <w:t>Structured, documented, marketed, syndicated, and modeled numerous financing transactions in public, bank, and institutional markets including four project financings, and six structured financings.</w:t>
      </w:r>
    </w:p>
    <w:p>
      <w:pPr>
        <w:pStyle w:val="Normal"/>
        <w:numPr>
          <w:ilvl w:val="0"/>
          <w:numId w:val="3"/>
        </w:numPr>
        <w:tabs>
          <w:tab w:val="clear" w:pos="720"/>
          <w:tab w:val="left" w:pos="360" w:leader="none"/>
          <w:tab w:val="left" w:pos="1890" w:leader="none"/>
        </w:tabs>
        <w:rPr/>
      </w:pPr>
      <w:r>
        <w:rPr/>
        <w:t>Took lead role in coordinating tax and accounting aspects in highly structured equity sale for Enron Compression Services to achieve earnings and balance sheet objectives.</w:t>
      </w:r>
    </w:p>
    <w:p>
      <w:pPr>
        <w:pStyle w:val="Normal"/>
        <w:numPr>
          <w:ilvl w:val="0"/>
          <w:numId w:val="8"/>
        </w:numPr>
        <w:tabs>
          <w:tab w:val="clear" w:pos="720"/>
          <w:tab w:val="left" w:pos="360" w:leader="none"/>
          <w:tab w:val="left" w:pos="1890" w:leader="none"/>
        </w:tabs>
        <w:rPr/>
      </w:pPr>
      <w:r>
        <w:rPr/>
        <w:t xml:space="preserve">Modeled public bond offering for Genco, a $1.2 billion, 3100 MW, six facility peaking electrical generation company. Team achieved bond ratings in first-of-its-kind deal. </w:t>
      </w:r>
    </w:p>
    <w:p>
      <w:pPr>
        <w:pStyle w:val="Normal"/>
        <w:rPr/>
      </w:pPr>
      <w:r>
        <w:rPr/>
      </w:r>
    </w:p>
    <w:p>
      <w:pPr>
        <w:pStyle w:val="Heading2"/>
        <w:tabs>
          <w:tab w:val="clear" w:pos="1800"/>
          <w:tab w:val="left" w:pos="810" w:leader="none"/>
          <w:tab w:val="right" w:pos="9720" w:leader="none"/>
        </w:tabs>
        <w:ind w:hanging="0" w:start="0"/>
        <w:rPr/>
      </w:pPr>
      <w:r>
        <w:rPr/>
        <w:t>Dell Computer Corporation,  Austin, TX</w:t>
        <w:tab/>
        <w:t>June, 1997 – May, 1998</w:t>
      </w:r>
    </w:p>
    <w:p>
      <w:pPr>
        <w:pStyle w:val="Normal"/>
        <w:tabs>
          <w:tab w:val="clear" w:pos="720"/>
          <w:tab w:val="left" w:pos="810" w:leader="none"/>
          <w:tab w:val="right" w:pos="10710" w:leader="none"/>
        </w:tabs>
        <w:rPr>
          <w:i/>
          <w:i/>
        </w:rPr>
      </w:pPr>
      <w:r>
        <w:rPr>
          <w:i/>
        </w:rPr>
        <w:t>Intern – Worldwide Procurement Finance</w:t>
      </w:r>
    </w:p>
    <w:p>
      <w:pPr>
        <w:pStyle w:val="Normal"/>
        <w:numPr>
          <w:ilvl w:val="0"/>
          <w:numId w:val="2"/>
        </w:numPr>
        <w:tabs>
          <w:tab w:val="clear" w:pos="720"/>
          <w:tab w:val="left" w:pos="360" w:leader="none"/>
          <w:tab w:val="right" w:pos="10710" w:leader="none"/>
        </w:tabs>
        <w:rPr/>
      </w:pPr>
      <w:r>
        <w:rPr/>
        <w:t>Held responsibility for performing financial evaluations of potential suppliers, reporting assessments, and making recommendations for action.</w:t>
      </w:r>
    </w:p>
    <w:p>
      <w:pPr>
        <w:pStyle w:val="Normal"/>
        <w:numPr>
          <w:ilvl w:val="0"/>
          <w:numId w:val="2"/>
        </w:numPr>
        <w:tabs>
          <w:tab w:val="clear" w:pos="720"/>
          <w:tab w:val="left" w:pos="360" w:leader="none"/>
          <w:tab w:val="right" w:pos="10710" w:leader="none"/>
        </w:tabs>
        <w:rPr/>
      </w:pPr>
      <w:r>
        <w:rPr/>
        <w:t>Designed and constructed Microsoft Excel-based models to automatically aggregate forecast and actual operating data for use in monthly performance evaluation for procurement organization.</w:t>
      </w:r>
    </w:p>
    <w:p>
      <w:pPr>
        <w:pStyle w:val="Normal"/>
        <w:numPr>
          <w:ilvl w:val="0"/>
          <w:numId w:val="2"/>
        </w:numPr>
        <w:tabs>
          <w:tab w:val="clear" w:pos="720"/>
          <w:tab w:val="left" w:pos="360" w:leader="none"/>
          <w:tab w:val="right" w:pos="10710" w:leader="none"/>
        </w:tabs>
        <w:rPr/>
      </w:pPr>
      <w:r>
        <w:rPr/>
        <w:t>Assisted in monthly accounting close and general ledger upload for international procurement offices.</w:t>
      </w:r>
    </w:p>
    <w:p>
      <w:pPr>
        <w:pStyle w:val="Normal"/>
        <w:tabs>
          <w:tab w:val="clear" w:pos="720"/>
          <w:tab w:val="left" w:pos="2160" w:leader="none"/>
          <w:tab w:val="right" w:pos="10710" w:leader="none"/>
        </w:tabs>
        <w:rPr/>
      </w:pPr>
      <w:r>
        <w:rPr/>
      </w:r>
    </w:p>
    <w:p>
      <w:pPr>
        <w:pStyle w:val="Heading2"/>
        <w:tabs>
          <w:tab w:val="clear" w:pos="1800"/>
          <w:tab w:val="left" w:pos="810" w:leader="none"/>
          <w:tab w:val="right" w:pos="9720" w:leader="none"/>
        </w:tabs>
        <w:ind w:hanging="0" w:start="0"/>
        <w:rPr/>
      </w:pPr>
      <w:r>
        <w:rPr/>
        <w:t>Enron Corp.,  Houston, TX</w:t>
        <w:tab/>
        <w:t>February, 1997 – May, 1997</w:t>
      </w:r>
    </w:p>
    <w:p>
      <w:pPr>
        <w:pStyle w:val="Normal"/>
        <w:tabs>
          <w:tab w:val="clear" w:pos="720"/>
          <w:tab w:val="left" w:pos="810" w:leader="none"/>
          <w:tab w:val="right" w:pos="10710" w:leader="none"/>
        </w:tabs>
        <w:rPr>
          <w:i/>
          <w:i/>
        </w:rPr>
      </w:pPr>
      <w:r>
        <w:rPr>
          <w:i/>
        </w:rPr>
        <w:t>Intern – ECT Investments (Equities trading group)</w:t>
      </w:r>
    </w:p>
    <w:p>
      <w:pPr>
        <w:pStyle w:val="Normal"/>
        <w:numPr>
          <w:ilvl w:val="0"/>
          <w:numId w:val="9"/>
        </w:numPr>
        <w:tabs>
          <w:tab w:val="clear" w:pos="720"/>
          <w:tab w:val="right" w:pos="10710" w:leader="none"/>
        </w:tabs>
        <w:rPr/>
      </w:pPr>
      <w:r>
        <w:rPr/>
        <w:t>Built and managed a tracking process and database using Microsoft Access to efficiently monitor over-the-counter trade contracts and confirmations.</w:t>
      </w:r>
    </w:p>
    <w:p>
      <w:pPr>
        <w:pStyle w:val="Normal"/>
        <w:numPr>
          <w:ilvl w:val="0"/>
          <w:numId w:val="9"/>
        </w:numPr>
        <w:tabs>
          <w:tab w:val="clear" w:pos="720"/>
          <w:tab w:val="right" w:pos="10710" w:leader="none"/>
        </w:tabs>
        <w:rPr/>
      </w:pPr>
      <w:r>
        <w:rPr/>
        <w:t>Supervised confirmation process.  Responsible for resolving legal issues with counterparties to execute contracts and manage legal exposure for equity hedge fund.</w:t>
      </w:r>
    </w:p>
    <w:p>
      <w:pPr>
        <w:pStyle w:val="Normal"/>
        <w:numPr>
          <w:ilvl w:val="0"/>
          <w:numId w:val="9"/>
        </w:numPr>
        <w:tabs>
          <w:tab w:val="clear" w:pos="720"/>
          <w:tab w:val="right" w:pos="10710" w:leader="none"/>
        </w:tabs>
        <w:rPr/>
      </w:pPr>
      <w:r>
        <w:rPr/>
        <w:t>Assisted in daily process of trade capture, position reporting, Value at Risk calculation, and profit and loss reporting for hedge fund with extensive derivative product transactions.</w:t>
      </w:r>
    </w:p>
    <w:p>
      <w:pPr>
        <w:pStyle w:val="Normal"/>
        <w:tabs>
          <w:tab w:val="clear" w:pos="720"/>
          <w:tab w:val="left" w:pos="1800" w:leader="none"/>
          <w:tab w:val="right" w:pos="10710" w:leader="none"/>
        </w:tabs>
        <w:rPr>
          <w:b/>
        </w:rPr>
      </w:pPr>
      <w:r>
        <w:rPr>
          <w:b/>
        </w:rPr>
      </w:r>
    </w:p>
    <w:p>
      <w:pPr>
        <w:pStyle w:val="Heading1"/>
        <w:tabs>
          <w:tab w:val="clear" w:pos="720"/>
          <w:tab w:val="left" w:pos="1800" w:leader="none"/>
          <w:tab w:val="right" w:pos="9360" w:leader="none"/>
        </w:tabs>
        <w:ind w:start="0" w:end="0"/>
        <w:rPr>
          <w:b w:val="false"/>
          <w:sz w:val="20"/>
        </w:rPr>
      </w:pPr>
      <w:r>
        <w:rPr>
          <w:b w:val="false"/>
          <w:sz w:val="20"/>
        </w:rPr>
      </w:r>
    </w:p>
    <w:p>
      <w:pPr>
        <w:pStyle w:val="Heading1"/>
        <w:tabs>
          <w:tab w:val="clear" w:pos="720"/>
          <w:tab w:val="left" w:pos="1800" w:leader="none"/>
          <w:tab w:val="right" w:pos="9360" w:leader="none"/>
        </w:tabs>
        <w:ind w:start="0" w:end="0"/>
        <w:jc w:val="center"/>
        <w:rPr>
          <w:b w:val="false"/>
          <w:sz w:val="24"/>
        </w:rPr>
      </w:pPr>
      <w:r>
        <w:rPr/>
        <w:t>EDUCATION</w:t>
      </w:r>
    </w:p>
    <w:p>
      <w:pPr>
        <w:pStyle w:val="Heading1"/>
        <w:tabs>
          <w:tab w:val="clear" w:pos="720"/>
          <w:tab w:val="left" w:pos="1800" w:leader="none"/>
          <w:tab w:val="right" w:pos="9360" w:leader="none"/>
        </w:tabs>
        <w:ind w:start="0" w:end="0"/>
        <w:rPr>
          <w:b w:val="false"/>
          <w:sz w:val="20"/>
        </w:rPr>
      </w:pPr>
      <w:r>
        <w:rPr>
          <w:b w:val="false"/>
          <w:sz w:val="20"/>
        </w:rPr>
      </w:r>
    </w:p>
    <w:p>
      <w:pPr>
        <w:pStyle w:val="Heading1"/>
        <w:tabs>
          <w:tab w:val="clear" w:pos="720"/>
          <w:tab w:val="left" w:pos="1800" w:leader="none"/>
          <w:tab w:val="right" w:pos="9720" w:leader="none"/>
        </w:tabs>
        <w:ind w:start="0" w:end="0"/>
        <w:rPr>
          <w:sz w:val="20"/>
        </w:rPr>
      </w:pPr>
      <w:r>
        <w:rPr>
          <w:sz w:val="20"/>
        </w:rPr>
        <w:t>The University of Texas at Austin</w:t>
        <w:tab/>
        <w:t>May, 1998</w:t>
      </w:r>
    </w:p>
    <w:p>
      <w:pPr>
        <w:pStyle w:val="Normal"/>
        <w:numPr>
          <w:ilvl w:val="0"/>
          <w:numId w:val="6"/>
        </w:numPr>
        <w:tabs>
          <w:tab w:val="clear" w:pos="720"/>
          <w:tab w:val="left" w:pos="1800" w:leader="none"/>
        </w:tabs>
        <w:rPr/>
      </w:pPr>
      <w:r>
        <w:rPr/>
        <w:t xml:space="preserve">Professional Program in Accounting – </w:t>
      </w:r>
      <w:r>
        <w:rPr>
          <w:i/>
        </w:rPr>
        <w:t>Master in Professional Accounting</w:t>
      </w:r>
    </w:p>
    <w:p>
      <w:pPr>
        <w:pStyle w:val="Normal"/>
        <w:numPr>
          <w:ilvl w:val="0"/>
          <w:numId w:val="6"/>
        </w:numPr>
        <w:tabs>
          <w:tab w:val="clear" w:pos="720"/>
          <w:tab w:val="left" w:pos="1800" w:leader="none"/>
        </w:tabs>
        <w:rPr/>
      </w:pPr>
      <w:r>
        <w:rPr/>
        <w:t xml:space="preserve">Business Honors Program – </w:t>
      </w:r>
      <w:r>
        <w:rPr>
          <w:i/>
        </w:rPr>
        <w:t>Bachelor of Business Administration</w:t>
      </w:r>
    </w:p>
    <w:p>
      <w:pPr>
        <w:pStyle w:val="Normal"/>
        <w:rPr/>
      </w:pPr>
      <w:r>
        <w:rPr/>
      </w:r>
    </w:p>
    <w:p>
      <w:pPr>
        <w:pStyle w:val="Heading4"/>
        <w:tabs>
          <w:tab w:val="clear" w:pos="1800"/>
          <w:tab w:val="clear" w:pos="2160"/>
          <w:tab w:val="clear" w:pos="10710"/>
          <w:tab w:val="right" w:pos="9720" w:leader="none"/>
        </w:tabs>
        <w:ind w:start="0" w:end="0"/>
        <w:rPr>
          <w:b w:val="false"/>
        </w:rPr>
      </w:pPr>
      <w:r>
        <w:rPr/>
        <w:t xml:space="preserve">CPA </w:t>
        <w:tab/>
        <w:t>May, 1998</w:t>
      </w:r>
    </w:p>
    <w:p>
      <w:pPr>
        <w:pStyle w:val="Normal"/>
        <w:numPr>
          <w:ilvl w:val="0"/>
          <w:numId w:val="5"/>
        </w:numPr>
        <w:rPr/>
      </w:pPr>
      <w:r>
        <w:rPr/>
        <w:t>Passed all four sections of CPA exam at first sitting.</w:t>
      </w:r>
    </w:p>
    <w:p>
      <w:pPr>
        <w:pStyle w:val="Normal"/>
        <w:tabs>
          <w:tab w:val="clear" w:pos="720"/>
          <w:tab w:val="right" w:pos="9270" w:leader="none"/>
        </w:tabs>
        <w:rPr>
          <w:b/>
        </w:rPr>
      </w:pPr>
      <w:r>
        <w:rPr>
          <w:b/>
        </w:rPr>
      </w:r>
    </w:p>
    <w:p>
      <w:pPr>
        <w:pStyle w:val="Normal"/>
        <w:tabs>
          <w:tab w:val="clear" w:pos="720"/>
          <w:tab w:val="right" w:pos="9270" w:leader="none"/>
        </w:tabs>
        <w:rPr>
          <w:b/>
        </w:rPr>
      </w:pPr>
      <w:r>
        <w:rPr>
          <w:b/>
        </w:rPr>
      </w:r>
    </w:p>
    <w:sectPr>
      <w:type w:val="nextPage"/>
      <w:pgSz w:w="12240" w:h="15840"/>
      <w:pgMar w:left="1260" w:right="1260" w:gutter="0" w:header="0" w:top="108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080" w:end="-1080"/>
      <w:outlineLvl w:val="0"/>
    </w:pPr>
    <w:rPr>
      <w:b/>
      <w:sz w:val="22"/>
    </w:rPr>
  </w:style>
  <w:style w:type="paragraph" w:styleId="Heading2">
    <w:name w:val="heading 2"/>
    <w:basedOn w:val="Normal"/>
    <w:next w:val="Normal"/>
    <w:qFormat/>
    <w:pPr>
      <w:keepNext w:val="true"/>
      <w:numPr>
        <w:ilvl w:val="1"/>
        <w:numId w:val="1"/>
      </w:numPr>
      <w:tabs>
        <w:tab w:val="clear" w:pos="720"/>
        <w:tab w:val="left" w:pos="1800" w:leader="none"/>
      </w:tabs>
      <w:outlineLvl w:val="1"/>
    </w:pPr>
    <w:rPr>
      <w:b/>
    </w:rPr>
  </w:style>
  <w:style w:type="paragraph" w:styleId="Heading3">
    <w:name w:val="heading 3"/>
    <w:basedOn w:val="Normal"/>
    <w:next w:val="Normal"/>
    <w:qFormat/>
    <w:pPr>
      <w:keepNext w:val="true"/>
      <w:numPr>
        <w:ilvl w:val="2"/>
        <w:numId w:val="1"/>
      </w:numPr>
      <w:tabs>
        <w:tab w:val="clear" w:pos="720"/>
        <w:tab w:val="left" w:pos="1800" w:leader="none"/>
        <w:tab w:val="left" w:pos="2160" w:leader="none"/>
        <w:tab w:val="right" w:pos="10710" w:leader="none"/>
      </w:tabs>
      <w:ind w:hanging="0" w:start="1800" w:end="0"/>
      <w:outlineLvl w:val="2"/>
    </w:pPr>
    <w:rPr>
      <w:i/>
    </w:rPr>
  </w:style>
  <w:style w:type="paragraph" w:styleId="Heading4">
    <w:name w:val="heading 4"/>
    <w:basedOn w:val="Normal"/>
    <w:next w:val="Normal"/>
    <w:qFormat/>
    <w:pPr>
      <w:keepNext w:val="true"/>
      <w:numPr>
        <w:ilvl w:val="3"/>
        <w:numId w:val="1"/>
      </w:numPr>
      <w:tabs>
        <w:tab w:val="clear" w:pos="720"/>
        <w:tab w:val="left" w:pos="1800" w:leader="none"/>
        <w:tab w:val="left" w:pos="2160" w:leader="none"/>
        <w:tab w:val="right" w:pos="10710" w:leader="none"/>
      </w:tabs>
      <w:ind w:hanging="0" w:start="1800" w:end="0"/>
      <w:outlineLvl w:val="3"/>
    </w:pPr>
    <w:rPr>
      <w:b/>
    </w:rPr>
  </w:style>
  <w:style w:type="paragraph" w:styleId="Heading5">
    <w:name w:val="heading 5"/>
    <w:basedOn w:val="Normal"/>
    <w:next w:val="Normal"/>
    <w:qFormat/>
    <w:pPr>
      <w:keepNext w:val="true"/>
      <w:numPr>
        <w:ilvl w:val="4"/>
        <w:numId w:val="1"/>
      </w:numPr>
      <w:outlineLvl w:val="4"/>
    </w:pPr>
    <w:rPr>
      <w:b/>
      <w:sz w:val="18"/>
    </w:rPr>
  </w:style>
  <w:style w:type="paragraph" w:styleId="Heading6">
    <w:name w:val="heading 6"/>
    <w:basedOn w:val="Normal"/>
    <w:next w:val="Normal"/>
    <w:qFormat/>
    <w:pPr>
      <w:keepNext w:val="true"/>
      <w:numPr>
        <w:ilvl w:val="5"/>
        <w:numId w:val="1"/>
      </w:numPr>
      <w:tabs>
        <w:tab w:val="clear" w:pos="720"/>
        <w:tab w:val="left" w:pos="810" w:leader="none"/>
        <w:tab w:val="left" w:pos="900" w:leader="none"/>
      </w:tabs>
      <w:outlineLvl w:val="5"/>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12"/>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12"/>
    </w:rPr>
  </w:style>
  <w:style w:type="character" w:styleId="WW8Num20z0">
    <w:name w:val="WW8Num20z0"/>
    <w:qFormat/>
    <w:rPr>
      <w:rFonts w:ascii="Symbol" w:hAnsi="Symbol" w:cs="Symbol"/>
    </w:rPr>
  </w:style>
  <w:style w:type="character" w:styleId="WW8Num21z0">
    <w:name w:val="WW8Num21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sz w:val="12"/>
    </w:rPr>
  </w:style>
  <w:style w:type="character" w:styleId="WW8Num29z0">
    <w:name w:val="WW8Num29z0"/>
    <w:qFormat/>
    <w:rPr>
      <w:rFonts w:ascii="Symbol" w:hAnsi="Symbol" w:cs="Symbol"/>
    </w:rPr>
  </w:style>
  <w:style w:type="character" w:styleId="WW8Num30z0">
    <w:name w:val="WW8Num30z0"/>
    <w:qFormat/>
    <w:rPr>
      <w:rFonts w:ascii="Symbol" w:hAnsi="Symbol" w:cs="Symbol"/>
      <w:sz w:val="12"/>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sz w:val="16"/>
    </w:rPr>
  </w:style>
  <w:style w:type="character" w:styleId="WW8Num34z0">
    <w:name w:val="WW8Num3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2001-11-01T12:39:00Z</dcterms:created>
  <dc:creator>ect</dc:creator>
  <dc:description/>
  <dc:language>en-CA</dc:language>
  <cp:lastModifiedBy>gzimmer</cp:lastModifiedBy>
  <cp:lastPrinted>2001-10-31T12:01:00Z</cp:lastPrinted>
  <dcterms:modified xsi:type="dcterms:W3CDTF">2001-11-01T12:39:00Z</dcterms:modified>
  <cp:revision>2</cp:revision>
  <dc:subject/>
  <dc:title>Grant W</dc:title>
</cp:coreProperties>
</file>