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sz w:val="17"/>
                <w:szCs w:val="17"/>
              </w:rPr>
            </w:pPr>
            <w:r>
              <w:rPr>
                <w:sz w:val="17"/>
                <w:szCs w:val="17"/>
              </w:rPr>
            </w:r>
          </w:p>
          <w:p>
            <w:pPr>
              <w:pStyle w:val="Normal"/>
              <w:rPr>
                <w:sz w:val="17"/>
                <w:szCs w:val="17"/>
              </w:rPr>
            </w:pPr>
            <w:r>
              <w:fldChar w:fldCharType="begin"/>
            </w:r>
            <w:r>
              <w:rPr>
                <w:sz w:val="17"/>
                <w:szCs w:val="17"/>
              </w:rPr>
              <w:instrText xml:space="preserve"> ADVANCE \d 5 </w:instrText>
            </w:r>
            <w:r>
              <w:rPr>
                <w:sz w:val="17"/>
                <w:szCs w:val="17"/>
              </w:rPr>
            </w:r>
            <w:r>
              <w:rPr>
                <w:sz w:val="17"/>
                <w:szCs w:val="17"/>
              </w:rPr>
              <w:fldChar w:fldCharType="separate"/>
            </w:r>
            <w:r>
              <w:rPr>
                <w:sz w:val="17"/>
                <w:szCs w:val="17"/>
              </w:rPr>
            </w:r>
            <w:r/>
            <w:r>
              <w:rPr>
                <w:sz w:val="17"/>
                <w:szCs w:val="17"/>
              </w:rPr>
              <w:fldChar w:fldCharType="end"/>
            </w:r>
            <w:r>
              <w:rPr>
                <w:sz w:val="17"/>
                <w:szCs w:val="17"/>
              </w:rPr>
            </w:r>
          </w:p>
          <w:p>
            <w:pPr>
              <w:pStyle w:val="Normal"/>
              <w:rPr>
                <w:sz w:val="17"/>
                <w:szCs w:val="17"/>
              </w:rPr>
            </w:pPr>
            <w:r>
              <w:rPr>
                <w:b/>
                <w:bCs/>
                <w:smallCaps/>
                <w:spacing w:val="-20"/>
                <w:kern w:val="2"/>
                <w:sz w:val="34"/>
                <w:szCs w:val="34"/>
              </w:rPr>
              <w:t>Kilpatrick</w:t>
            </w:r>
            <w:r>
              <w:rPr>
                <w:b/>
                <w:bCs/>
                <w:smallCaps/>
                <w:spacing w:val="20"/>
                <w:kern w:val="2"/>
                <w:sz w:val="34"/>
                <w:szCs w:val="34"/>
              </w:rPr>
              <w:t xml:space="preserve"> </w:t>
            </w:r>
            <w:r>
              <w:rPr>
                <w:b/>
                <w:bCs/>
                <w:smallCaps/>
                <w:spacing w:val="-20"/>
                <w:kern w:val="2"/>
                <w:sz w:val="34"/>
                <w:szCs w:val="34"/>
              </w:rPr>
              <w:t>Stockton</w:t>
            </w:r>
            <w:r>
              <w:rPr>
                <w:b/>
                <w:bCs/>
                <w:smallCaps/>
                <w:spacing w:val="20"/>
                <w:kern w:val="2"/>
                <w:sz w:val="34"/>
                <w:szCs w:val="34"/>
              </w:rPr>
              <w:t xml:space="preserve"> </w:t>
            </w:r>
            <w:r>
              <w:rPr>
                <w:b/>
                <w:bCs/>
                <w:smallCaps/>
                <w:spacing w:val="-20"/>
                <w:kern w:val="2"/>
                <w:sz w:val="34"/>
                <w:szCs w:val="34"/>
              </w:rPr>
              <w:t>llp</w:t>
            </w:r>
          </w:p>
        </w:tc>
        <w:tc>
          <w:tcPr>
            <w:tcW w:w="4788" w:type="dxa"/>
            <w:tcBorders/>
          </w:tcPr>
          <w:p>
            <w:pPr>
              <w:pStyle w:val="Normal"/>
              <w:jc w:val="end"/>
              <w:rPr>
                <w:sz w:val="17"/>
                <w:szCs w:val="17"/>
              </w:rPr>
            </w:pPr>
            <w:r>
              <w:rPr>
                <w:b/>
                <w:bCs/>
                <w:sz w:val="17"/>
                <w:szCs w:val="17"/>
              </w:rPr>
              <w:t>Attorneys at Law</w:t>
            </w:r>
          </w:p>
          <w:p>
            <w:pPr>
              <w:pStyle w:val="Normal"/>
              <w:jc w:val="end"/>
              <w:rPr>
                <w:sz w:val="17"/>
                <w:szCs w:val="17"/>
              </w:rPr>
            </w:pPr>
            <w:bookmarkStart w:id="0" w:name="address"/>
            <w:bookmarkEnd w:id="0"/>
            <w:r>
              <w:rPr>
                <w:sz w:val="17"/>
                <w:szCs w:val="17"/>
              </w:rPr>
              <w:t>3737 Glenwood Avenue, Suite 400</w:t>
            </w:r>
          </w:p>
          <w:p>
            <w:pPr>
              <w:pStyle w:val="Normal"/>
              <w:jc w:val="end"/>
              <w:rPr>
                <w:sz w:val="17"/>
                <w:szCs w:val="17"/>
              </w:rPr>
            </w:pPr>
            <w:r>
              <w:rPr>
                <w:sz w:val="17"/>
                <w:szCs w:val="17"/>
              </w:rPr>
              <w:t>Raleigh, North Carolina  27612</w:t>
            </w:r>
          </w:p>
          <w:p>
            <w:pPr>
              <w:pStyle w:val="Normal"/>
              <w:jc w:val="end"/>
              <w:rPr>
                <w:sz w:val="17"/>
                <w:szCs w:val="17"/>
              </w:rPr>
            </w:pPr>
            <w:r>
              <w:rPr>
                <w:sz w:val="17"/>
                <w:szCs w:val="17"/>
              </w:rPr>
              <w:t>Telephone: 919.420.1700</w:t>
            </w:r>
          </w:p>
          <w:p>
            <w:pPr>
              <w:pStyle w:val="Normal"/>
              <w:jc w:val="end"/>
              <w:rPr>
                <w:sz w:val="17"/>
                <w:szCs w:val="17"/>
              </w:rPr>
            </w:pPr>
            <w:r>
              <w:rPr>
                <w:sz w:val="17"/>
                <w:szCs w:val="17"/>
              </w:rPr>
              <w:t>Facsimile: 919.420.1800</w:t>
            </w:r>
          </w:p>
          <w:p>
            <w:pPr>
              <w:pStyle w:val="Normal"/>
              <w:jc w:val="end"/>
              <w:rPr>
                <w:sz w:val="17"/>
                <w:szCs w:val="17"/>
              </w:rPr>
            </w:pPr>
            <w:r>
              <w:rPr>
                <w:sz w:val="17"/>
                <w:szCs w:val="17"/>
              </w:rPr>
              <w:t>Web site: www.kilstock.com</w:t>
            </w:r>
          </w:p>
        </w:tc>
      </w:tr>
      <w:tr>
        <w:trPr/>
        <w:tc>
          <w:tcPr>
            <w:tcW w:w="4788" w:type="dxa"/>
            <w:tcBorders/>
          </w:tcPr>
          <w:p>
            <w:pPr>
              <w:pStyle w:val="Normal"/>
              <w:snapToGrid w:val="false"/>
              <w:rPr>
                <w:sz w:val="17"/>
                <w:szCs w:val="17"/>
              </w:rPr>
            </w:pPr>
            <w:r>
              <w:rPr>
                <w:sz w:val="17"/>
                <w:szCs w:val="17"/>
              </w:rPr>
            </w:r>
          </w:p>
        </w:tc>
        <w:tc>
          <w:tcPr>
            <w:tcW w:w="4788" w:type="dxa"/>
            <w:tcBorders/>
          </w:tcPr>
          <w:p>
            <w:pPr>
              <w:pStyle w:val="Normal"/>
              <w:snapToGrid w:val="false"/>
              <w:jc w:val="end"/>
              <w:rPr>
                <w:b/>
                <w:bCs/>
                <w:sz w:val="17"/>
                <w:szCs w:val="17"/>
              </w:rPr>
            </w:pPr>
            <w:r>
              <w:rPr>
                <w:b/>
                <w:bCs/>
                <w:sz w:val="17"/>
                <w:szCs w:val="17"/>
              </w:rPr>
            </w:r>
          </w:p>
        </w:tc>
      </w:tr>
      <w:tr>
        <w:trPr/>
        <w:tc>
          <w:tcPr>
            <w:tcW w:w="4788" w:type="dxa"/>
            <w:tcBorders/>
          </w:tcPr>
          <w:p>
            <w:pPr>
              <w:pStyle w:val="MemDate"/>
              <w:rPr/>
            </w:pPr>
            <w:r>
              <w:fldChar w:fldCharType="begin"/>
            </w:r>
            <w:r>
              <w:rPr/>
              <w:instrText xml:space="preserve"> ADVANCE \d 7 </w:instrText>
            </w:r>
            <w:r>
              <w:rPr/>
            </w:r>
            <w:r>
              <w:rPr/>
              <w:fldChar w:fldCharType="separate"/>
            </w:r>
            <w:r>
              <w:rPr/>
            </w:r>
            <w:r>
              <w:rPr/>
            </w:r>
            <w:r>
              <w:rPr/>
              <w:fldChar w:fldCharType="end"/>
            </w:r>
            <w:r>
              <w:rPr/>
              <w:t>April 24, 2000</w:t>
            </w:r>
          </w:p>
        </w:tc>
        <w:tc>
          <w:tcPr>
            <w:tcW w:w="4788" w:type="dxa"/>
            <w:tcBorders/>
          </w:tcPr>
          <w:p>
            <w:pPr>
              <w:pStyle w:val="Normal"/>
              <w:jc w:val="end"/>
              <w:rPr>
                <w:b/>
                <w:bCs/>
                <w:sz w:val="17"/>
                <w:szCs w:val="17"/>
              </w:rPr>
            </w:pPr>
            <w:r>
              <w:rPr>
                <w:b/>
                <w:bCs/>
                <w:sz w:val="17"/>
                <w:szCs w:val="17"/>
              </w:rPr>
              <w:t xml:space="preserve">E-mail: </w:t>
            </w:r>
            <w:bookmarkStart w:id="1" w:name="email"/>
            <w:bookmarkEnd w:id="1"/>
            <w:r>
              <w:rPr>
                <w:b/>
                <w:bCs/>
                <w:sz w:val="17"/>
                <w:szCs w:val="17"/>
              </w:rPr>
              <w:t>aduncan@kilstock.com</w:t>
            </w:r>
          </w:p>
          <w:p>
            <w:pPr>
              <w:pStyle w:val="Normal"/>
              <w:jc w:val="end"/>
              <w:rPr>
                <w:b/>
                <w:bCs/>
              </w:rPr>
            </w:pPr>
            <w:r>
              <w:rPr>
                <w:b/>
                <w:bCs/>
                <w:sz w:val="17"/>
                <w:szCs w:val="17"/>
              </w:rPr>
              <w:t xml:space="preserve">Direct Dial: </w:t>
            </w:r>
            <w:bookmarkStart w:id="2" w:name="ext"/>
            <w:bookmarkEnd w:id="2"/>
            <w:r>
              <w:rPr>
                <w:b/>
                <w:bCs/>
                <w:sz w:val="17"/>
                <w:szCs w:val="17"/>
              </w:rPr>
              <w:t>919.420.1809</w:t>
            </w:r>
          </w:p>
        </w:tc>
      </w:tr>
    </w:tbl>
    <w:p>
      <w:pPr>
        <w:pStyle w:val="Normal"/>
        <w:tabs>
          <w:tab w:val="clear" w:pos="1440"/>
          <w:tab w:val="right" w:pos="9360" w:leader="none"/>
        </w:tabs>
        <w:rPr/>
      </w:pPr>
      <w:r>
        <w:rPr>
          <w:sz w:val="32"/>
          <w:szCs w:val="32"/>
          <w:u w:val="single"/>
        </w:rPr>
        <w:tab/>
      </w:r>
      <w:r>
        <w:fldChar w:fldCharType="begin"/>
      </w:r>
      <w:r>
        <w:rPr>
          <w:sz w:val="32"/>
          <w:szCs w:val="32"/>
        </w:rPr>
        <w:instrText xml:space="preserve"> advance \d 7 </w:instrText>
      </w:r>
      <w:r>
        <w:rPr>
          <w:sz w:val="32"/>
          <w:szCs w:val="32"/>
        </w:rPr>
      </w:r>
      <w:r>
        <w:rPr>
          <w:sz w:val="32"/>
          <w:szCs w:val="32"/>
        </w:rPr>
        <w:fldChar w:fldCharType="separate"/>
      </w:r>
      <w:r>
        <w:rPr>
          <w:sz w:val="32"/>
          <w:szCs w:val="32"/>
        </w:rPr>
      </w:r>
      <w:r>
        <w:rPr>
          <w:sz w:val="32"/>
          <w:szCs w:val="32"/>
        </w:rPr>
      </w:r>
      <w:r>
        <w:rPr>
          <w:sz w:val="32"/>
          <w:szCs w:val="32"/>
        </w:rPr>
        <w:fldChar w:fldCharType="end"/>
      </w:r>
      <w:r>
        <w:rPr>
          <w:rFonts w:eastAsia="Symbol" w:cs="Symbol" w:ascii="Symbol" w:hAnsi="Symbol"/>
          <w:sz w:val="32"/>
          <w:szCs w:val="32"/>
        </w:rPr>
        <w:sym w:font="Symbol" w:char="b7"/>
      </w:r>
      <w:r>
        <w:rPr>
          <w:sz w:val="32"/>
          <w:szCs w:val="32"/>
        </w:rPr>
        <w:t xml:space="preserve">  </w:t>
      </w:r>
      <w:r>
        <w:rPr>
          <w:b/>
          <w:bCs/>
          <w:sz w:val="32"/>
          <w:szCs w:val="32"/>
        </w:rPr>
        <w:t>Memorandum</w:t>
      </w:r>
    </w:p>
    <w:p>
      <w:pPr>
        <w:pStyle w:val="Memorandum"/>
        <w:rPr/>
      </w:pPr>
      <w:bookmarkStart w:id="3" w:name="Confid"/>
      <w:bookmarkEnd w:id="3"/>
      <w:r>
        <w:rPr/>
        <w:t>CONFIDENTIAL ATTORNEY-CLIENT PRIVILEGED DOCUMENT</w:t>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776" w:footer="720" w:bottom="776"/>
          <w:pgNumType w:fmt="decimal"/>
          <w:formProt w:val="false"/>
          <w:titlePg/>
          <w:textDirection w:val="lrTb"/>
        </w:sectPr>
      </w:pPr>
    </w:p>
    <w:tbl>
      <w:tblPr>
        <w:tblW w:w="5095" w:type="dxa"/>
        <w:jc w:val="start"/>
        <w:tblInd w:w="0" w:type="dxa"/>
        <w:tblLayout w:type="fixed"/>
        <w:tblCellMar>
          <w:top w:w="0" w:type="dxa"/>
          <w:start w:w="108" w:type="dxa"/>
          <w:bottom w:w="0" w:type="dxa"/>
          <w:end w:w="108" w:type="dxa"/>
        </w:tblCellMar>
      </w:tblPr>
      <w:tblGrid>
        <w:gridCol w:w="1458"/>
        <w:gridCol w:w="3637"/>
      </w:tblGrid>
      <w:tr>
        <w:trPr/>
        <w:tc>
          <w:tcPr>
            <w:tcW w:w="1458" w:type="dxa"/>
            <w:tcBorders/>
          </w:tcPr>
          <w:p>
            <w:pPr>
              <w:pStyle w:val="Normal"/>
              <w:rPr>
                <w:b/>
                <w:bCs/>
              </w:rPr>
            </w:pPr>
            <w:r>
              <w:rPr>
                <w:b/>
                <w:bCs/>
              </w:rPr>
              <w:t>TO:</w:t>
            </w:r>
          </w:p>
        </w:tc>
        <w:tc>
          <w:tcPr>
            <w:tcW w:w="3637" w:type="dxa"/>
            <w:tcBorders/>
          </w:tcPr>
          <w:p>
            <w:pPr>
              <w:pStyle w:val="Recipient"/>
              <w:tabs>
                <w:tab w:val="clear" w:pos="1440"/>
              </w:tabs>
              <w:jc w:val="start"/>
              <w:rPr>
                <w:b/>
                <w:bCs/>
              </w:rPr>
            </w:pPr>
            <w:r>
              <w:rPr/>
              <w:fldChar w:fldCharType="begin"/>
            </w:r>
            <w:r>
              <w:rPr/>
              <w:instrText xml:space="preserve"> FILLIN "Recipient(s)"</w:instrText>
            </w:r>
            <w:r>
              <w:rPr/>
              <w:fldChar w:fldCharType="separate"/>
            </w:r>
            <w:r>
              <w:rPr/>
              <w:t>Lisa Mellencamp</w:t>
            </w:r>
            <w:r>
              <w:rPr/>
              <w:fldChar w:fldCharType="end"/>
            </w:r>
          </w:p>
          <w:p>
            <w:pPr>
              <w:pStyle w:val="Normal"/>
              <w:jc w:val="start"/>
              <w:rPr>
                <w:b/>
                <w:bCs/>
              </w:rPr>
            </w:pPr>
            <w:r>
              <w:rPr>
                <w:b/>
                <w:bCs/>
              </w:rPr>
            </w:r>
          </w:p>
        </w:tc>
      </w:tr>
      <w:tr>
        <w:trPr/>
        <w:tc>
          <w:tcPr>
            <w:tcW w:w="5095" w:type="dxa"/>
            <w:gridSpan w:val="2"/>
            <w:tcBorders/>
          </w:tcPr>
          <w:p>
            <w:pPr>
              <w:pStyle w:val="Normal"/>
              <w:jc w:val="start"/>
              <w:rPr/>
            </w:pPr>
            <w:r>
              <w:rPr>
                <w:b/>
                <w:bCs/>
              </w:rPr>
              <w:t>FROM:</w:t>
            </w:r>
            <w:r>
              <w:rPr/>
              <w:tab/>
            </w:r>
            <w:bookmarkStart w:id="4" w:name="From"/>
            <w:bookmarkEnd w:id="4"/>
            <w:r>
              <w:rPr/>
              <w:t>Allyson K. Duncan</w:t>
            </w:r>
          </w:p>
          <w:p>
            <w:pPr>
              <w:pStyle w:val="Normal"/>
              <w:rPr/>
            </w:pPr>
            <w:r>
              <w:rPr/>
            </w:r>
          </w:p>
        </w:tc>
      </w:tr>
    </w:tbl>
    <w:p>
      <w:pPr>
        <w:pStyle w:val="Normal"/>
        <w:jc w:val="start"/>
        <w:rPr>
          <w:b/>
          <w:bCs/>
        </w:rPr>
      </w:pPr>
      <w:r>
        <w:br w:type="column"/>
      </w:r>
      <w:bookmarkStart w:id="5" w:name="Copies"/>
      <w:bookmarkEnd w:id="5"/>
      <w:r>
        <w:rPr>
          <w:b/>
          <w:bCs/>
        </w:rPr>
        <w:t>COPIES:</w:t>
      </w:r>
    </w:p>
    <w:p>
      <w:pPr>
        <w:pStyle w:val="Normal"/>
        <w:jc w:val="start"/>
        <w:rPr/>
      </w:pPr>
      <w:r>
        <w:br w:type="column"/>
      </w:r>
      <w:r>
        <w:rPr/>
        <w:fldChar w:fldCharType="begin"/>
      </w:r>
      <w:r>
        <w:rPr/>
        <w:instrText xml:space="preserve"> FILLIN "Copies"</w:instrText>
      </w:r>
      <w:r>
        <w:rPr/>
        <w:fldChar w:fldCharType="separate"/>
      </w:r>
      <w:r>
        <w:rPr/>
        <w:t>Tom Chapman</w:t>
        <w:br/>
        <w:t>Jeffrey Keenan</w:t>
        <w:br/>
        <w:t>Heather kroll</w:t>
      </w:r>
      <w:r>
        <w:rPr/>
        <w:fldChar w:fldCharType="end"/>
      </w:r>
    </w:p>
    <w:p>
      <w:pPr>
        <w:pStyle w:val="Normal"/>
        <w:rPr/>
      </w:pPr>
      <w:r>
        <w:rPr/>
      </w:r>
    </w:p>
    <w:p>
      <w:pPr>
        <w:sectPr>
          <w:type w:val="continuous"/>
          <w:pgSz w:w="12240" w:h="15840"/>
          <w:pgMar w:left="1440" w:right="720" w:gutter="0" w:header="720" w:top="776" w:footer="720" w:bottom="776"/>
          <w:cols w:num="3" w:equalWidth="false" w:sep="false">
            <w:col w:w="5040" w:space="0"/>
            <w:col w:w="1440" w:space="0"/>
            <w:col w:w="3600"/>
          </w:cols>
          <w:formProt w:val="false"/>
          <w:titlePg/>
          <w:textDirection w:val="lrTb"/>
        </w:sectPr>
      </w:pPr>
    </w:p>
    <w:tbl>
      <w:tblPr>
        <w:tblW w:w="9576" w:type="dxa"/>
        <w:jc w:val="start"/>
        <w:tblInd w:w="0" w:type="dxa"/>
        <w:tblLayout w:type="fixed"/>
        <w:tblCellMar>
          <w:top w:w="0" w:type="dxa"/>
          <w:start w:w="0" w:type="dxa"/>
          <w:bottom w:w="0" w:type="dxa"/>
          <w:end w:w="0" w:type="dxa"/>
        </w:tblCellMar>
      </w:tblPr>
      <w:tblGrid>
        <w:gridCol w:w="1440"/>
        <w:gridCol w:w="8136"/>
      </w:tblGrid>
      <w:tr>
        <w:trPr/>
        <w:tc>
          <w:tcPr>
            <w:tcW w:w="1440" w:type="dxa"/>
            <w:tcBorders/>
          </w:tcPr>
          <w:p>
            <w:pPr>
              <w:pStyle w:val="Normal"/>
              <w:rPr>
                <w:b/>
                <w:bCs/>
              </w:rPr>
            </w:pPr>
            <w:r>
              <w:rPr>
                <w:b/>
                <w:bCs/>
              </w:rPr>
              <w:t>RE:</w:t>
            </w:r>
          </w:p>
        </w:tc>
        <w:tc>
          <w:tcPr>
            <w:tcW w:w="8136" w:type="dxa"/>
            <w:tcBorders/>
          </w:tcPr>
          <w:p>
            <w:pPr>
              <w:pStyle w:val="Normal"/>
              <w:rPr/>
            </w:pPr>
            <w:r>
              <w:rPr/>
              <w:t>Time Line for Applying for and Receiving CPCN</w:t>
            </w:r>
          </w:p>
          <w:p>
            <w:pPr>
              <w:pStyle w:val="Normal"/>
              <w:rPr/>
            </w:pPr>
            <w:r>
              <w:rPr/>
            </w:r>
          </w:p>
        </w:tc>
      </w:tr>
    </w:tbl>
    <w:p>
      <w:pPr>
        <w:pStyle w:val="Normal"/>
        <w:rPr/>
      </w:pPr>
      <w:r>
        <w:rPr/>
        <w:t>I have gone through the Rockingham docket and the Commission rules and statutes.  The process has the potential to be extensive if there is opposition.  Please look at this and let me know if you have any questions.</w:t>
      </w:r>
    </w:p>
    <w:p>
      <w:pPr>
        <w:pStyle w:val="Normal"/>
        <w:rPr/>
      </w:pPr>
      <w:r>
        <w:rPr/>
      </w:r>
    </w:p>
    <w:p>
      <w:pPr>
        <w:pStyle w:val="Normal"/>
        <w:rPr/>
      </w:pPr>
      <w:r>
        <w:rPr/>
        <w:t>May 15</w:t>
        <w:tab/>
        <w:t xml:space="preserve">NCUC Rule R8-61 Requires that certain information must be filed 120 or more </w:t>
        <w:tab/>
        <w:t xml:space="preserve">days prior to the filing of an application for a CPCN for generating facilities </w:t>
        <w:tab/>
        <w:t>with capacity of 300 MW or more. [</w:t>
      </w:r>
      <w:r>
        <w:rPr>
          <w:i/>
          <w:iCs/>
        </w:rPr>
        <w:t>original and 30 copies</w:t>
      </w:r>
      <w:r>
        <w:rPr/>
        <w:t xml:space="preserve">]  </w:t>
      </w:r>
    </w:p>
    <w:p>
      <w:pPr>
        <w:pStyle w:val="Normal"/>
        <w:rPr/>
      </w:pPr>
      <w:r>
        <w:rPr/>
      </w:r>
    </w:p>
    <w:p>
      <w:pPr>
        <w:pStyle w:val="Normal"/>
        <w:rPr/>
      </w:pPr>
      <w:r>
        <w:rPr/>
        <w:tab/>
        <w:t>The filing must include the following:</w:t>
      </w:r>
    </w:p>
    <w:p>
      <w:pPr>
        <w:pStyle w:val="Normal"/>
        <w:rPr/>
      </w:pPr>
      <w:r>
        <w:rPr/>
        <w:tab/>
        <w:tab/>
        <w:t>(1)</w:t>
        <w:tab/>
        <w:t>available site information (including maps and description);</w:t>
      </w:r>
    </w:p>
    <w:p>
      <w:pPr>
        <w:pStyle w:val="Normal"/>
        <w:rPr/>
      </w:pPr>
      <w:r>
        <w:rPr/>
        <w:tab/>
        <w:tab/>
        <w:tab/>
        <w:t>preliminary estimates of initial and ultimate development;</w:t>
      </w:r>
    </w:p>
    <w:p>
      <w:pPr>
        <w:pStyle w:val="Normal"/>
        <w:rPr/>
      </w:pPr>
      <w:r>
        <w:rPr/>
        <w:tab/>
        <w:tab/>
        <w:tab/>
        <w:t>justification for the site selected and descriptions of other</w:t>
      </w:r>
    </w:p>
    <w:p>
      <w:pPr>
        <w:pStyle w:val="Normal"/>
        <w:rPr/>
      </w:pPr>
      <w:r>
        <w:rPr/>
        <w:tab/>
        <w:tab/>
        <w:tab/>
        <w:t>sites considered.</w:t>
      </w:r>
    </w:p>
    <w:p>
      <w:pPr>
        <w:pStyle w:val="Normal"/>
        <w:rPr/>
      </w:pPr>
      <w:r>
        <w:rPr/>
      </w:r>
    </w:p>
    <w:p>
      <w:pPr>
        <w:pStyle w:val="Normal"/>
        <w:rPr/>
      </w:pPr>
      <w:r>
        <w:rPr/>
        <w:tab/>
        <w:tab/>
        <w:t>(2)</w:t>
        <w:tab/>
        <w:t>Preliminary geological, aesthetic, ecological, meteorological,</w:t>
      </w:r>
    </w:p>
    <w:p>
      <w:pPr>
        <w:pStyle w:val="Normal"/>
        <w:rPr/>
      </w:pPr>
      <w:r>
        <w:rPr/>
        <w:tab/>
        <w:tab/>
        <w:tab/>
        <w:t>seismic, water supply, population and general load center data</w:t>
      </w:r>
    </w:p>
    <w:p>
      <w:pPr>
        <w:pStyle w:val="Normal"/>
        <w:rPr/>
      </w:pPr>
      <w:r>
        <w:rPr/>
        <w:tab/>
        <w:tab/>
        <w:tab/>
        <w:t>to the extent known.</w:t>
      </w:r>
    </w:p>
    <w:p>
      <w:pPr>
        <w:pStyle w:val="Normal"/>
        <w:rPr/>
      </w:pPr>
      <w:r>
        <w:rPr/>
      </w:r>
    </w:p>
    <w:p>
      <w:pPr>
        <w:pStyle w:val="Normal"/>
        <w:rPr/>
      </w:pPr>
      <w:r>
        <w:rPr/>
        <w:tab/>
        <w:tab/>
        <w:t>(3)</w:t>
        <w:tab/>
        <w:t>a statement of the need for the facility, including information</w:t>
      </w:r>
    </w:p>
    <w:p>
      <w:pPr>
        <w:pStyle w:val="Normal"/>
        <w:rPr/>
      </w:pPr>
      <w:r>
        <w:rPr/>
        <w:tab/>
        <w:tab/>
        <w:tab/>
        <w:t>on loads and generating capability.</w:t>
      </w:r>
    </w:p>
    <w:p>
      <w:pPr>
        <w:pStyle w:val="Normal"/>
        <w:rPr/>
      </w:pPr>
      <w:r>
        <w:rPr/>
      </w:r>
    </w:p>
    <w:p>
      <w:pPr>
        <w:pStyle w:val="Normal"/>
        <w:rPr/>
      </w:pPr>
      <w:r>
        <w:rPr/>
        <w:tab/>
        <w:tab/>
        <w:t>(4)</w:t>
        <w:tab/>
        <w:t>a description of investigations of the site, to the extend carried</w:t>
      </w:r>
    </w:p>
    <w:p>
      <w:pPr>
        <w:pStyle w:val="Normal"/>
        <w:rPr/>
      </w:pPr>
      <w:r>
        <w:rPr/>
        <w:tab/>
        <w:tab/>
        <w:tab/>
        <w:t>out or completed.</w:t>
      </w:r>
    </w:p>
    <w:p>
      <w:pPr>
        <w:pStyle w:val="Normal"/>
        <w:rPr/>
      </w:pPr>
      <w:r>
        <w:rPr/>
        <w:tab/>
      </w:r>
    </w:p>
    <w:p>
      <w:pPr>
        <w:pStyle w:val="Normal"/>
        <w:rPr/>
      </w:pPr>
      <w:r>
        <w:rPr/>
        <w:tab/>
        <w:tab/>
        <w:t>(5)</w:t>
        <w:tab/>
        <w:t>a statement of existing or proposed plans applicant is aware</w:t>
      </w:r>
    </w:p>
    <w:p>
      <w:pPr>
        <w:pStyle w:val="Normal"/>
        <w:rPr/>
      </w:pPr>
      <w:r>
        <w:rPr/>
        <w:tab/>
        <w:tab/>
        <w:tab/>
        <w:t>of for other development at or adjacent to the proposed site.</w:t>
      </w:r>
    </w:p>
    <w:p>
      <w:pPr>
        <w:pStyle w:val="Normal"/>
        <w:rPr/>
      </w:pPr>
      <w:r>
        <w:rPr/>
      </w:r>
    </w:p>
    <w:p>
      <w:pPr>
        <w:pStyle w:val="Normal"/>
        <w:rPr/>
      </w:pPr>
      <w:r>
        <w:rPr/>
        <w:tab/>
        <w:tab/>
        <w:t>(6)</w:t>
        <w:tab/>
        <w:t>a statement of existing or proposed environmental evaluation</w:t>
      </w:r>
    </w:p>
    <w:p>
      <w:pPr>
        <w:pStyle w:val="Normal"/>
        <w:rPr/>
      </w:pPr>
      <w:r>
        <w:rPr/>
        <w:tab/>
        <w:tab/>
        <w:tab/>
        <w:t>program to meet the applicable air and water quality standards.</w:t>
      </w:r>
    </w:p>
    <w:p>
      <w:pPr>
        <w:pStyle w:val="Normal"/>
        <w:rPr/>
      </w:pPr>
      <w:r>
        <w:rPr/>
      </w:r>
    </w:p>
    <w:p>
      <w:pPr>
        <w:pStyle w:val="Normal"/>
        <w:rPr/>
      </w:pPr>
      <w:r>
        <w:rPr/>
        <w:tab/>
        <w:tab/>
        <w:t>(7)</w:t>
        <w:tab/>
        <w:t>a brief description of transmission line routes from the site.</w:t>
      </w:r>
    </w:p>
    <w:p>
      <w:pPr>
        <w:pStyle w:val="Normal"/>
        <w:rPr/>
      </w:pPr>
      <w:r>
        <w:rPr/>
      </w:r>
    </w:p>
    <w:p>
      <w:pPr>
        <w:pStyle w:val="Normal"/>
        <w:rPr/>
      </w:pPr>
      <w:r>
        <w:rPr/>
        <w:tab/>
        <w:tab/>
        <w:t>(8)</w:t>
        <w:tab/>
        <w:t>a list of all the agencies from which approval will be sought</w:t>
      </w:r>
    </w:p>
    <w:p>
      <w:pPr>
        <w:pStyle w:val="Normal"/>
        <w:rPr/>
      </w:pPr>
      <w:r>
        <w:rPr/>
        <w:tab/>
        <w:tab/>
        <w:tab/>
        <w:t>with respect to the construction and what those approvals are.</w:t>
      </w:r>
    </w:p>
    <w:p>
      <w:pPr>
        <w:pStyle w:val="Normal"/>
        <w:rPr/>
      </w:pPr>
      <w:r>
        <w:rPr/>
      </w:r>
    </w:p>
    <w:p>
      <w:pPr>
        <w:pStyle w:val="Normal"/>
        <w:rPr/>
      </w:pPr>
      <w:r>
        <w:rPr/>
        <w:tab/>
        <w:tab/>
        <w:t>(9)</w:t>
        <w:tab/>
        <w:t>an estimate of costs, including capital and operating</w:t>
      </w:r>
    </w:p>
    <w:p>
      <w:pPr>
        <w:pStyle w:val="Normal"/>
        <w:rPr/>
      </w:pPr>
      <w:r>
        <w:rPr/>
        <w:tab/>
        <w:tab/>
        <w:tab/>
        <w:t>costs, including fuel costs by category, and information</w:t>
      </w:r>
    </w:p>
    <w:p>
      <w:pPr>
        <w:pStyle w:val="Normal"/>
        <w:rPr/>
      </w:pPr>
      <w:r>
        <w:rPr/>
        <w:tab/>
        <w:tab/>
        <w:tab/>
        <w:t>concerning capacity factor, heat rate and plant service</w:t>
      </w:r>
    </w:p>
    <w:p>
      <w:pPr>
        <w:pStyle w:val="Normal"/>
        <w:rPr/>
      </w:pPr>
      <w:r>
        <w:rPr/>
        <w:tab/>
        <w:tab/>
        <w:tab/>
        <w:t>life to the extent known; also comparative data on other</w:t>
      </w:r>
    </w:p>
    <w:p>
      <w:pPr>
        <w:pStyle w:val="Normal"/>
        <w:rPr/>
      </w:pPr>
      <w:r>
        <w:rPr/>
        <w:tab/>
        <w:tab/>
        <w:tab/>
        <w:t>alternatives, and</w:t>
      </w:r>
    </w:p>
    <w:p>
      <w:pPr>
        <w:pStyle w:val="Normal"/>
        <w:rPr/>
      </w:pPr>
      <w:r>
        <w:rPr/>
      </w:r>
    </w:p>
    <w:p>
      <w:pPr>
        <w:pStyle w:val="Normal"/>
        <w:rPr/>
      </w:pPr>
      <w:r>
        <w:rPr/>
        <w:tab/>
        <w:tab/>
        <w:t>(10)</w:t>
        <w:tab/>
        <w:t xml:space="preserve">a schedule showing the anticipated beginning dates </w:t>
      </w:r>
    </w:p>
    <w:p>
      <w:pPr>
        <w:pStyle w:val="Normal"/>
        <w:rPr/>
      </w:pPr>
      <w:r>
        <w:rPr/>
        <w:tab/>
        <w:tab/>
        <w:tab/>
        <w:t>for construction, testing and commercial operation of the</w:t>
      </w:r>
    </w:p>
    <w:p>
      <w:pPr>
        <w:pStyle w:val="Normal"/>
        <w:rPr/>
      </w:pPr>
      <w:r>
        <w:rPr/>
        <w:tab/>
        <w:tab/>
        <w:tab/>
        <w:t>generating facility.</w:t>
      </w:r>
    </w:p>
    <w:p>
      <w:pPr>
        <w:pStyle w:val="Normal"/>
        <w:rPr/>
      </w:pPr>
      <w:r>
        <w:rPr/>
      </w:r>
    </w:p>
    <w:p>
      <w:pPr>
        <w:pStyle w:val="Normal"/>
        <w:rPr/>
      </w:pPr>
      <w:r>
        <w:rPr/>
        <w:t>August 15</w:t>
        <w:tab/>
        <w:t>File Petition for Certificate of Public Convenience and Necessity</w:t>
      </w:r>
    </w:p>
    <w:p>
      <w:pPr>
        <w:pStyle w:val="Normal"/>
        <w:rPr/>
      </w:pPr>
      <w:r>
        <w:rPr/>
        <w:tab/>
        <w:t>to construct generation in Edgecombe County along with supporting</w:t>
      </w:r>
    </w:p>
    <w:p>
      <w:pPr>
        <w:pStyle w:val="Normal"/>
        <w:rPr/>
      </w:pPr>
      <w:r>
        <w:rPr/>
        <w:tab/>
        <w:t>prefiled direct testimony and exhibits (</w:t>
      </w:r>
      <w:r>
        <w:rPr>
          <w:i/>
          <w:iCs/>
        </w:rPr>
        <w:t>original and 30 copies)</w:t>
      </w:r>
    </w:p>
    <w:p>
      <w:pPr>
        <w:pStyle w:val="Normal"/>
        <w:rPr/>
      </w:pPr>
      <w:r>
        <w:rPr/>
      </w:r>
    </w:p>
    <w:p>
      <w:pPr>
        <w:pStyle w:val="Normal"/>
        <w:rPr/>
      </w:pPr>
      <w:r>
        <w:rPr/>
        <w:t>Sept 15</w:t>
        <w:tab/>
        <w:t>The Public Staff brings the matter before the NCUC at Commission</w:t>
      </w:r>
    </w:p>
    <w:p>
      <w:pPr>
        <w:pStyle w:val="Normal"/>
        <w:rPr/>
      </w:pPr>
      <w:r>
        <w:rPr/>
        <w:tab/>
        <w:t xml:space="preserve">Agenda Conference.  </w:t>
      </w:r>
    </w:p>
    <w:p>
      <w:pPr>
        <w:pStyle w:val="Normal"/>
        <w:rPr/>
      </w:pPr>
      <w:r>
        <w:rPr/>
      </w:r>
    </w:p>
    <w:p>
      <w:pPr>
        <w:pStyle w:val="Normal"/>
        <w:rPr/>
      </w:pPr>
      <w:r>
        <w:rPr/>
        <w:t>October 1</w:t>
        <w:tab/>
        <w:t xml:space="preserve">NCUC issues an Order setting the matter for hearing and </w:t>
      </w:r>
    </w:p>
    <w:p>
      <w:pPr>
        <w:pStyle w:val="Normal"/>
        <w:rPr/>
      </w:pPr>
      <w:r>
        <w:rPr/>
        <w:tab/>
        <w:t>establishing the procedural schedule, including the following:</w:t>
      </w:r>
    </w:p>
    <w:p>
      <w:pPr>
        <w:pStyle w:val="Normal"/>
        <w:rPr/>
      </w:pPr>
      <w:r>
        <w:rPr/>
        <w:tab/>
        <w:tab/>
        <w:t xml:space="preserve">(1) </w:t>
        <w:tab/>
        <w:t xml:space="preserve">scheduling a public hearing in Edgecombe County, </w:t>
      </w:r>
    </w:p>
    <w:p>
      <w:pPr>
        <w:pStyle w:val="Normal"/>
        <w:rPr/>
      </w:pPr>
      <w:r>
        <w:rPr/>
        <w:tab/>
        <w:tab/>
        <w:tab/>
        <w:t>and requiring the publication of notice.</w:t>
      </w:r>
    </w:p>
    <w:p>
      <w:pPr>
        <w:pStyle w:val="Normal"/>
        <w:rPr/>
      </w:pPr>
      <w:r>
        <w:rPr/>
      </w:r>
    </w:p>
    <w:p>
      <w:pPr>
        <w:pStyle w:val="Normal"/>
        <w:rPr/>
      </w:pPr>
      <w:r>
        <w:rPr/>
        <w:tab/>
        <w:tab/>
        <w:t>(2)</w:t>
        <w:tab/>
        <w:t>establishing a deadline for interventions.</w:t>
        <w:tab/>
      </w:r>
    </w:p>
    <w:p>
      <w:pPr>
        <w:pStyle w:val="Normal"/>
        <w:rPr/>
      </w:pPr>
      <w:r>
        <w:rPr/>
        <w:tab/>
        <w:tab/>
      </w:r>
    </w:p>
    <w:p>
      <w:pPr>
        <w:pStyle w:val="Normal"/>
        <w:rPr/>
      </w:pPr>
      <w:r>
        <w:rPr/>
        <w:tab/>
        <w:tab/>
        <w:t>(3)</w:t>
        <w:tab/>
        <w:t>establishing the guidelines for discovery</w:t>
      </w:r>
    </w:p>
    <w:p>
      <w:pPr>
        <w:pStyle w:val="Normal"/>
        <w:rPr/>
      </w:pPr>
      <w:r>
        <w:rPr/>
      </w:r>
    </w:p>
    <w:p>
      <w:pPr>
        <w:pStyle w:val="Normal"/>
        <w:rPr/>
      </w:pPr>
      <w:r>
        <w:rPr/>
        <w:tab/>
        <w:tab/>
        <w:t>(4)</w:t>
        <w:tab/>
        <w:t>establishing the times for filing Public Staff,</w:t>
      </w:r>
    </w:p>
    <w:p>
      <w:pPr>
        <w:pStyle w:val="Normal"/>
        <w:rPr/>
      </w:pPr>
      <w:r>
        <w:rPr/>
        <w:tab/>
        <w:tab/>
        <w:tab/>
        <w:t>intervenor and rebuttal testimony and</w:t>
      </w:r>
    </w:p>
    <w:p>
      <w:pPr>
        <w:pStyle w:val="Normal"/>
        <w:rPr/>
      </w:pPr>
      <w:r>
        <w:rPr/>
      </w:r>
    </w:p>
    <w:p>
      <w:pPr>
        <w:pStyle w:val="Normal"/>
        <w:rPr/>
      </w:pPr>
      <w:r>
        <w:rPr/>
        <w:tab/>
        <w:tab/>
        <w:t>(5)</w:t>
        <w:tab/>
        <w:t>scheduling a hearing on the CPCN</w:t>
      </w:r>
    </w:p>
    <w:p>
      <w:pPr>
        <w:pStyle w:val="Normal"/>
        <w:rPr/>
      </w:pPr>
      <w:r>
        <w:rPr/>
      </w:r>
    </w:p>
    <w:p>
      <w:pPr>
        <w:pStyle w:val="Normal"/>
        <w:rPr/>
      </w:pPr>
      <w:r>
        <w:rPr/>
        <w:tab/>
        <w:t>(this usually takes about six weeks, but depends on factors such as the level of interest generated.  For example, the NCUC may schedule the Egdecombe public hearing on a no protest basis, and cancel it if no inquiries are received.  In the Rockingham petition, the procedural order was entered  on March 11, 1999, and intervenor testimony filed May 7.  Other problems can arise because of the NCUC’s crowded calendar, and the fact that it is difficult to schedule anything in August and December)</w:t>
      </w:r>
    </w:p>
    <w:p>
      <w:pPr>
        <w:pStyle w:val="Normal"/>
        <w:rPr/>
      </w:pPr>
      <w:r>
        <w:rPr/>
      </w:r>
    </w:p>
    <w:p>
      <w:pPr>
        <w:pStyle w:val="Normal"/>
        <w:rPr/>
      </w:pPr>
      <w:r>
        <w:rPr/>
        <w:t>Nov 15</w:t>
        <w:tab/>
        <w:t xml:space="preserve">Evidentiary hearing.  (briefs and proposed </w:t>
        <w:tab/>
        <w:t>orders are normally due thirty days after the mailing of the transcript.</w:t>
      </w:r>
    </w:p>
    <w:p>
      <w:pPr>
        <w:pStyle w:val="Normal"/>
        <w:rPr/>
      </w:pPr>
      <w:r>
        <w:rPr/>
        <w:tab/>
        <w:t>However, with the consent of the parties, this can be shortened .)</w:t>
      </w:r>
    </w:p>
    <w:p>
      <w:pPr>
        <w:pStyle w:val="Normal"/>
        <w:rPr/>
      </w:pPr>
      <w:r>
        <w:rPr/>
      </w:r>
    </w:p>
    <w:p>
      <w:pPr>
        <w:pStyle w:val="Normal"/>
        <w:rPr/>
      </w:pPr>
      <w:r>
        <w:rPr/>
        <w:t>Dec 15</w:t>
        <w:tab/>
        <w:t xml:space="preserve">briefs and proposed orders due. </w:t>
      </w:r>
    </w:p>
    <w:p>
      <w:pPr>
        <w:pStyle w:val="Normal"/>
        <w:rPr/>
      </w:pPr>
      <w:r>
        <w:rPr/>
        <w:tab/>
        <w:t>(At this point, the Commission staff will review and synthesize the issues</w:t>
      </w:r>
    </w:p>
    <w:p>
      <w:pPr>
        <w:pStyle w:val="Normal"/>
        <w:rPr/>
      </w:pPr>
      <w:r>
        <w:rPr/>
        <w:tab/>
        <w:t>and present them to the Commissioners with a recommendation.  If there</w:t>
      </w:r>
    </w:p>
    <w:p>
      <w:pPr>
        <w:pStyle w:val="Normal"/>
        <w:rPr/>
      </w:pPr>
      <w:r>
        <w:rPr/>
        <w:tab/>
        <w:t>are no areas of dispute, particularly if  Enron is able to reach a stipulation</w:t>
      </w:r>
    </w:p>
    <w:p>
      <w:pPr>
        <w:pStyle w:val="Normal"/>
        <w:rPr/>
      </w:pPr>
      <w:r>
        <w:rPr/>
        <w:tab/>
        <w:t>with the Public Staff, it will expedite matters considerably.  The</w:t>
      </w:r>
    </w:p>
    <w:p>
      <w:pPr>
        <w:pStyle w:val="Normal"/>
        <w:rPr/>
      </w:pPr>
      <w:r>
        <w:rPr/>
        <w:tab/>
        <w:t>Commissioners will consider staff recommendations in closed session</w:t>
      </w:r>
    </w:p>
    <w:p>
      <w:pPr>
        <w:pStyle w:val="Normal"/>
        <w:rPr/>
      </w:pPr>
      <w:r>
        <w:rPr/>
        <w:tab/>
        <w:t xml:space="preserve">and issue an order. </w:t>
      </w:r>
    </w:p>
    <w:p>
      <w:pPr>
        <w:pStyle w:val="Normal"/>
        <w:rPr/>
      </w:pPr>
      <w:r>
        <w:rPr/>
      </w:r>
    </w:p>
    <w:p>
      <w:pPr>
        <w:pStyle w:val="Normal"/>
        <w:rPr/>
      </w:pPr>
      <w:r>
        <w:rPr/>
        <w:t xml:space="preserve"> </w:t>
      </w:r>
    </w:p>
    <w:p>
      <w:pPr>
        <w:pStyle w:val="Normal"/>
        <w:jc w:val="start"/>
        <w:rPr>
          <w:sz w:val="17"/>
          <w:szCs w:val="17"/>
        </w:rPr>
      </w:pPr>
      <w:bookmarkStart w:id="6" w:name="DocID1"/>
      <w:r>
        <w:rPr>
          <w:sz w:val="17"/>
          <w:szCs w:val="17"/>
        </w:rPr>
        <w:t xml:space="preserve">RALLIB01:549084.01  </w:t>
      </w:r>
      <w:bookmarkEnd w:id="6"/>
    </w:p>
    <w:p>
      <w:pPr>
        <w:pStyle w:val="Normal"/>
        <w:rPr/>
      </w:pPr>
      <w:r>
        <w:rPr/>
      </w:r>
    </w:p>
    <w:sectPr>
      <w:type w:val="continuous"/>
      <w:pgSz w:w="12240" w:h="15840"/>
      <w:pgMar w:left="1440" w:right="1440" w:gutter="0" w:header="720" w:top="776" w:footer="720" w:bottom="776"/>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Garmond (W1)">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ksoffices"/>
      <w:rPr/>
    </w:pPr>
    <w:r>
      <w:rPr>
        <w:b/>
        <w:bCs/>
        <w:sz w:val="16"/>
        <w:szCs w:val="16"/>
      </w:rPr>
      <w:t>Atlanta</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Augusta</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Brussels</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Charlotte</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London</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Miami</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Raleigh</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Stockholm</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Washington</w:t>
    </w:r>
    <w:r>
      <w:rPr>
        <w:b/>
        <w:bCs/>
        <w:spacing w:val="20"/>
        <w:sz w:val="16"/>
        <w:szCs w:val="16"/>
      </w:rPr>
      <w:t xml:space="preserve"> </w:t>
    </w:r>
    <w:r>
      <w:rPr>
        <w:rFonts w:eastAsia="Symbol" w:cs="Symbol" w:ascii="Symbol" w:hAnsi="Symbol"/>
        <w:b/>
        <w:bCs/>
        <w:spacing w:val="20"/>
        <w:sz w:val="16"/>
        <w:szCs w:val="16"/>
      </w:rPr>
      <w:sym w:font="Symbol" w:char="b7"/>
    </w:r>
    <w:r>
      <w:rPr>
        <w:b/>
        <w:bCs/>
        <w:sz w:val="16"/>
        <w:szCs w:val="16"/>
      </w:rPr>
      <w:t xml:space="preserve"> Winston</w:t>
      <w:noBreakHyphen/>
      <w:t>Salem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MemoHeader"/>
      <w:rPr/>
    </w:pPr>
    <w:r>
      <w:rPr/>
      <w:t xml:space="preserve">Memorandum to </w:t>
    </w:r>
  </w:p>
  <w:p>
    <w:pPr>
      <w:pStyle w:val="Normal"/>
      <w:rPr/>
    </w:pPr>
    <w:r>
      <w:rPr/>
    </w:r>
  </w:p>
  <w:p>
    <w:pPr>
      <w:pStyle w:val="Normal"/>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Normal"/>
      <w:rPr>
        <w:rStyle w:val="PageNumber"/>
      </w:rPr>
    </w:pPr>
    <w:r>
      <w:rPr/>
    </w:r>
  </w:p>
  <w:p>
    <w:pPr>
      <w:pStyle w:val="Normal"/>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s>
      <w:bidi w:val="0"/>
      <w:jc w:val="both"/>
    </w:pPr>
    <w:rPr>
      <w:rFonts w:ascii="Times New Roman" w:hAnsi="Times New Roman" w:eastAsia="Times New Roman" w:cs="Times New Roman"/>
      <w:color w:val="auto"/>
      <w:sz w:val="25"/>
      <w:szCs w:val="25"/>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irmName">
    <w:name w:val="Firm Name"/>
    <w:basedOn w:val="Normal"/>
    <w:qFormat/>
    <w:pPr>
      <w:jc w:val="center"/>
    </w:pPr>
    <w:rPr>
      <w:b/>
      <w:bCs/>
      <w:smallCaps/>
      <w:sz w:val="32"/>
      <w:szCs w:val="32"/>
    </w:rPr>
  </w:style>
  <w:style w:type="paragraph" w:styleId="FirmAddress">
    <w:name w:val="Firm Address"/>
    <w:basedOn w:val="FirmName"/>
    <w:qFormat/>
    <w:pPr/>
    <w:rPr>
      <w:rFonts w:ascii="Garmond (W1)" w:hAnsi="Garmond (W1)" w:eastAsia="Garmond (W1)" w:cs="Garmond (W1)"/>
      <w:b w:val="false"/>
      <w:bCs w:val="false"/>
      <w:i/>
      <w:iCs/>
      <w:caps w:val="false"/>
      <w:smallCaps w:val="false"/>
      <w:sz w:val="16"/>
      <w:szCs w:val="16"/>
    </w:rPr>
  </w:style>
  <w:style w:type="paragraph" w:styleId="From">
    <w:name w:val="From"/>
    <w:basedOn w:val="Normal"/>
    <w:qFormat/>
    <w:pPr>
      <w:ind w:hanging="1440" w:start="1440" w:end="0"/>
    </w:pPr>
    <w:rPr/>
  </w:style>
  <w:style w:type="paragraph" w:styleId="Recipient">
    <w:name w:val="Recipient"/>
    <w:basedOn w:val="Normal"/>
    <w:qFormat/>
    <w:pPr/>
    <w:rPr/>
  </w:style>
  <w:style w:type="paragraph" w:styleId="Date">
    <w:name w:val="Date"/>
    <w:basedOn w:val="Normal"/>
    <w:next w:val="Normal"/>
    <w:qFormat/>
    <w:pPr>
      <w:ind w:hanging="1440" w:start="1440" w:end="0"/>
    </w:pPr>
    <w:rPr/>
  </w:style>
  <w:style w:type="paragraph" w:styleId="Copies">
    <w:name w:val="Copies"/>
    <w:basedOn w:val="Normal"/>
    <w:next w:val="Normal"/>
    <w:qFormat/>
    <w:pPr>
      <w:tabs>
        <w:tab w:val="left" w:pos="1440" w:leader="none"/>
        <w:tab w:val="left" w:pos="6480" w:leader="none"/>
      </w:tabs>
      <w:ind w:hanging="1440" w:start="1440" w:end="0"/>
    </w:pPr>
    <w:rPr/>
  </w:style>
  <w:style w:type="paragraph" w:styleId="HeaderandFooter">
    <w:name w:val="Header and Footer"/>
    <w:basedOn w:val="Normal"/>
    <w:qFormat/>
    <w:pPr>
      <w:suppressLineNumbers/>
      <w:tabs>
        <w:tab w:val="clear" w:pos="1440"/>
        <w:tab w:val="center" w:pos="4986" w:leader="none"/>
        <w:tab w:val="right" w:pos="9972" w:leader="none"/>
      </w:tabs>
    </w:pPr>
    <w:rPr/>
  </w:style>
  <w:style w:type="paragraph" w:styleId="Header">
    <w:name w:val="header"/>
    <w:basedOn w:val="Normal"/>
    <w:pPr>
      <w:tabs>
        <w:tab w:val="clear" w:pos="1440"/>
        <w:tab w:val="center" w:pos="4320" w:leader="none"/>
        <w:tab w:val="right" w:pos="8640" w:leader="none"/>
      </w:tabs>
    </w:pPr>
    <w:rPr/>
  </w:style>
  <w:style w:type="paragraph" w:styleId="Re">
    <w:name w:val="Re"/>
    <w:basedOn w:val="Normal"/>
    <w:next w:val="Body"/>
    <w:qFormat/>
    <w:pPr>
      <w:tabs>
        <w:tab w:val="left" w:pos="1440" w:leader="none"/>
        <w:tab w:val="right" w:pos="9360" w:leader="none"/>
      </w:tabs>
      <w:ind w:hanging="1440" w:start="1440" w:end="0"/>
    </w:pPr>
    <w:rPr/>
  </w:style>
  <w:style w:type="paragraph" w:styleId="Body">
    <w:name w:val="Body"/>
    <w:basedOn w:val="Normal"/>
    <w:qFormat/>
    <w:pPr>
      <w:spacing w:before="240" w:after="0"/>
      <w:ind w:firstLine="1440" w:start="0" w:end="0"/>
    </w:pPr>
    <w:rPr/>
  </w:style>
  <w:style w:type="paragraph" w:styleId="MemoHeader">
    <w:name w:val="MemoHeader"/>
    <w:basedOn w:val="Normal"/>
    <w:next w:val="Normal"/>
    <w:qFormat/>
    <w:pPr>
      <w:ind w:hanging="1728" w:start="1728" w:end="0"/>
    </w:pPr>
    <w:rPr/>
  </w:style>
  <w:style w:type="paragraph" w:styleId="Footer">
    <w:name w:val="footer"/>
    <w:basedOn w:val="Normal"/>
    <w:pPr>
      <w:tabs>
        <w:tab w:val="clear" w:pos="1440"/>
        <w:tab w:val="center" w:pos="4320" w:leader="none"/>
        <w:tab w:val="right" w:pos="8640" w:leader="none"/>
      </w:tabs>
    </w:pPr>
    <w:rPr/>
  </w:style>
  <w:style w:type="paragraph" w:styleId="Memorandum">
    <w:name w:val="Memorandum"/>
    <w:basedOn w:val="Normal"/>
    <w:next w:val="Normal"/>
    <w:qFormat/>
    <w:pPr/>
    <w:rPr>
      <w:b/>
      <w:bCs/>
      <w:caps/>
    </w:rPr>
  </w:style>
  <w:style w:type="paragraph" w:styleId="MemDate">
    <w:name w:val="MemDate"/>
    <w:basedOn w:val="Normal"/>
    <w:next w:val="Normal"/>
    <w:qFormat/>
    <w:pPr/>
    <w:rPr/>
  </w:style>
  <w:style w:type="paragraph" w:styleId="ksoffices">
    <w:name w:val="ksoffices"/>
    <w:basedOn w:val="Footer"/>
    <w:next w:val="Footer"/>
    <w:qFormat/>
    <w:pPr>
      <w:jc w:val="cen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C:\MSOFFICE\WINWORD\TEMPLATE\NCMEMO.DOT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2000-04-24T13:53:00Z</dcterms:created>
  <dc:creator>ADUNCAN</dc:creator>
  <dc:description>
Enron Timeline</dc:description>
  <dc:language>en-CA</dc:language>
  <cp:lastModifiedBy>ADUNCAN</cp:lastModifiedBy>
  <cp:lastPrinted>2000-04-24T16:28:00Z</cp:lastPrinted>
  <dcterms:modified xsi:type="dcterms:W3CDTF">2000-04-24T14:40:00Z</dcterms:modified>
  <cp:revision>2</cp:revision>
  <dc:subject/>
  <dc:title/>
</cp:coreProperties>
</file>