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rPr>
      </w:pPr>
      <w:r>
        <w:rPr>
          <w:b/>
        </w:rPr>
        <w:t>Global Crossing Communications/Enron Broadband Services</w:t>
      </w:r>
    </w:p>
    <w:p>
      <w:pPr>
        <w:pStyle w:val="Normal"/>
        <w:jc w:val="center"/>
        <w:rPr>
          <w:b/>
          <w:sz w:val="32"/>
        </w:rPr>
      </w:pPr>
      <w:r>
        <w:rPr>
          <w:b/>
          <w:sz w:val="32"/>
        </w:rPr>
      </w:r>
    </w:p>
    <w:p>
      <w:pPr>
        <w:pStyle w:val="Heading2"/>
        <w:ind w:hanging="0" w:start="0"/>
        <w:rPr/>
      </w:pPr>
      <w:r>
        <w:rPr/>
        <w:t>NETWORK PURCHASE/SALE AGREEMENT</w:t>
      </w:r>
    </w:p>
    <w:p>
      <w:pPr>
        <w:pStyle w:val="Normal"/>
        <w:jc w:val="center"/>
        <w:rPr>
          <w:b/>
          <w:sz w:val="24"/>
        </w:rPr>
      </w:pPr>
      <w:r>
        <w:rPr>
          <w:b/>
          <w:sz w:val="24"/>
        </w:rPr>
      </w:r>
    </w:p>
    <w:p>
      <w:pPr>
        <w:pStyle w:val="Normal"/>
        <w:jc w:val="center"/>
        <w:rPr>
          <w:b/>
          <w:sz w:val="24"/>
        </w:rPr>
      </w:pPr>
      <w:r>
        <w:rPr>
          <w:b/>
          <w:sz w:val="24"/>
        </w:rPr>
        <w:t>DRAFT COPY</w:t>
      </w:r>
    </w:p>
    <w:p>
      <w:pPr>
        <w:pStyle w:val="Normal"/>
        <w:jc w:val="center"/>
        <w:rPr>
          <w:b/>
          <w:sz w:val="24"/>
        </w:rPr>
      </w:pPr>
      <w:r>
        <w:rPr>
          <w:b/>
          <w:sz w:val="24"/>
        </w:rPr>
      </w:r>
    </w:p>
    <w:p>
      <w:pPr>
        <w:pStyle w:val="Normal"/>
        <w:jc w:val="center"/>
        <w:rPr>
          <w:b/>
          <w:sz w:val="24"/>
        </w:rPr>
      </w:pPr>
      <w:r>
        <w:rPr>
          <w:b/>
          <w:sz w:val="24"/>
        </w:rPr>
      </w:r>
    </w:p>
    <w:p>
      <w:pPr>
        <w:pStyle w:val="Heading3"/>
        <w:ind w:hanging="0" w:start="0"/>
        <w:jc w:val="start"/>
        <w:rPr/>
      </w:pPr>
      <w:r>
        <w:rPr/>
        <w:t>Principle</w:t>
      </w:r>
    </w:p>
    <w:p>
      <w:pPr>
        <w:pStyle w:val="Normal"/>
        <w:jc w:val="both"/>
        <w:rPr>
          <w:sz w:val="24"/>
        </w:rPr>
      </w:pPr>
      <w:r>
        <w:rPr>
          <w:sz w:val="24"/>
        </w:rPr>
      </w:r>
    </w:p>
    <w:p>
      <w:pPr>
        <w:pStyle w:val="BodyText"/>
        <w:rPr/>
      </w:pPr>
      <w:r>
        <w:rPr/>
        <w:t xml:space="preserve">Global Crossing Ltd., a Bermuda Corporation, (“Global Crossing”) desires to acquire specific network assets (“Network Assets”) from Enron Broadband Services, Inc.  (“EBS”).  Additionally, EBS desires to enter into a long-term services agreement with Global Crossing, obligating EBS to purchase a pre-determined value of services from Global Crossing over the life of the contract.  </w:t>
      </w:r>
    </w:p>
    <w:p>
      <w:pPr>
        <w:pStyle w:val="Normal"/>
        <w:jc w:val="both"/>
        <w:rPr>
          <w:sz w:val="24"/>
        </w:rPr>
      </w:pPr>
      <w:r>
        <w:rPr>
          <w:sz w:val="24"/>
        </w:rPr>
      </w:r>
    </w:p>
    <w:p>
      <w:pPr>
        <w:pStyle w:val="Heading3"/>
        <w:ind w:hanging="0" w:start="0"/>
        <w:rPr/>
      </w:pPr>
      <w:r>
        <w:rPr/>
        <w:t>Deal Term</w:t>
      </w:r>
    </w:p>
    <w:p>
      <w:pPr>
        <w:pStyle w:val="Normal"/>
        <w:jc w:val="both"/>
        <w:rPr>
          <w:sz w:val="24"/>
        </w:rPr>
      </w:pPr>
      <w:r>
        <w:rPr>
          <w:sz w:val="24"/>
        </w:rPr>
      </w:r>
    </w:p>
    <w:p>
      <w:pPr>
        <w:pStyle w:val="Normal"/>
        <w:jc w:val="both"/>
        <w:rPr/>
      </w:pPr>
      <w:r>
        <w:rPr>
          <w:sz w:val="24"/>
        </w:rPr>
        <w:t>July 1</w:t>
      </w:r>
      <w:r>
        <w:rPr>
          <w:sz w:val="24"/>
          <w:vertAlign w:val="superscript"/>
        </w:rPr>
        <w:t>st</w:t>
      </w:r>
      <w:r>
        <w:rPr>
          <w:sz w:val="24"/>
        </w:rPr>
        <w:t>, 2001 – June 30</w:t>
      </w:r>
      <w:r>
        <w:rPr>
          <w:sz w:val="24"/>
          <w:vertAlign w:val="superscript"/>
        </w:rPr>
        <w:t>th</w:t>
      </w:r>
      <w:r>
        <w:rPr>
          <w:sz w:val="24"/>
        </w:rPr>
        <w:t>, 2021</w:t>
      </w:r>
    </w:p>
    <w:p>
      <w:pPr>
        <w:pStyle w:val="Normal"/>
        <w:jc w:val="both"/>
        <w:rPr>
          <w:sz w:val="24"/>
        </w:rPr>
      </w:pPr>
      <w:r>
        <w:rPr>
          <w:sz w:val="24"/>
        </w:rPr>
      </w:r>
    </w:p>
    <w:p>
      <w:pPr>
        <w:pStyle w:val="Heading3"/>
        <w:ind w:hanging="0" w:start="0"/>
        <w:rPr/>
      </w:pPr>
      <w:r>
        <w:rPr/>
        <w:t>Global Crossing Obligation</w:t>
      </w:r>
    </w:p>
    <w:p>
      <w:pPr>
        <w:pStyle w:val="Normal"/>
        <w:jc w:val="both"/>
        <w:rPr>
          <w:sz w:val="24"/>
        </w:rPr>
      </w:pPr>
      <w:r>
        <w:rPr>
          <w:sz w:val="24"/>
        </w:rPr>
      </w:r>
    </w:p>
    <w:p>
      <w:pPr>
        <w:pStyle w:val="Normal"/>
        <w:numPr>
          <w:ilvl w:val="0"/>
          <w:numId w:val="4"/>
        </w:numPr>
        <w:rPr>
          <w:sz w:val="24"/>
        </w:rPr>
      </w:pPr>
      <w:r>
        <w:rPr>
          <w:sz w:val="24"/>
        </w:rPr>
        <w:t>Global Crossing agrees to pay the sum of $650 million to EBS for the purchase of the Network Assets as defined in Schedule 1.  $350 million is to be paid upon deal closure, with the balance payable over the deal’s term.</w:t>
      </w:r>
    </w:p>
    <w:p>
      <w:pPr>
        <w:pStyle w:val="Normal"/>
        <w:rPr>
          <w:sz w:val="24"/>
        </w:rPr>
      </w:pPr>
      <w:r>
        <w:rPr>
          <w:sz w:val="24"/>
        </w:rPr>
      </w:r>
    </w:p>
    <w:p>
      <w:pPr>
        <w:pStyle w:val="Normal"/>
        <w:numPr>
          <w:ilvl w:val="0"/>
          <w:numId w:val="4"/>
        </w:numPr>
        <w:rPr>
          <w:sz w:val="24"/>
        </w:rPr>
      </w:pPr>
      <w:r>
        <w:rPr>
          <w:sz w:val="24"/>
        </w:rPr>
        <w:t>EBS is agreeable to including additional assets not included on Schedule 1 (e.g. Puerto Rico fiber, Collocation, etc.) as mutually agreed.</w:t>
      </w:r>
    </w:p>
    <w:p>
      <w:pPr>
        <w:pStyle w:val="Normal"/>
        <w:rPr>
          <w:sz w:val="24"/>
        </w:rPr>
      </w:pPr>
      <w:r>
        <w:rPr>
          <w:sz w:val="24"/>
        </w:rPr>
      </w:r>
    </w:p>
    <w:p>
      <w:pPr>
        <w:pStyle w:val="Normal"/>
        <w:numPr>
          <w:ilvl w:val="0"/>
          <w:numId w:val="4"/>
        </w:numPr>
        <w:rPr>
          <w:sz w:val="24"/>
        </w:rPr>
      </w:pPr>
      <w:r>
        <w:rPr>
          <w:sz w:val="24"/>
        </w:rPr>
        <w:t>Global Crossing agrees to provide EBS a “last look” for all of its off-net purchases during the term of this agreement.</w:t>
      </w:r>
    </w:p>
    <w:p>
      <w:pPr>
        <w:pStyle w:val="Normal"/>
        <w:rPr>
          <w:sz w:val="24"/>
        </w:rPr>
      </w:pPr>
      <w:r>
        <w:rPr>
          <w:sz w:val="24"/>
        </w:rPr>
      </w:r>
    </w:p>
    <w:p>
      <w:pPr>
        <w:pStyle w:val="Normal"/>
        <w:numPr>
          <w:ilvl w:val="0"/>
          <w:numId w:val="4"/>
        </w:numPr>
        <w:rPr>
          <w:sz w:val="24"/>
        </w:rPr>
      </w:pPr>
      <w:r>
        <w:rPr>
          <w:sz w:val="24"/>
        </w:rPr>
        <w:t>Global Crossing agrees to maintain connectivity of its network to that of EBS throughout the Term.</w:t>
      </w:r>
    </w:p>
    <w:p>
      <w:pPr>
        <w:pStyle w:val="Normal"/>
        <w:rPr>
          <w:sz w:val="24"/>
        </w:rPr>
      </w:pPr>
      <w:r>
        <w:rPr>
          <w:sz w:val="24"/>
        </w:rPr>
      </w:r>
    </w:p>
    <w:p>
      <w:pPr>
        <w:pStyle w:val="Normal"/>
        <w:rPr>
          <w:sz w:val="24"/>
        </w:rPr>
      </w:pPr>
      <w:r>
        <w:rPr>
          <w:sz w:val="24"/>
        </w:rPr>
      </w:r>
    </w:p>
    <w:p>
      <w:pPr>
        <w:pStyle w:val="Heading8"/>
        <w:ind w:hanging="0" w:start="0"/>
        <w:rPr>
          <w:u w:val="single"/>
        </w:rPr>
      </w:pPr>
      <w:r>
        <w:rPr>
          <w:u w:val="single"/>
        </w:rPr>
        <w:t>EBS Obligation</w:t>
      </w:r>
    </w:p>
    <w:p>
      <w:pPr>
        <w:pStyle w:val="Normal"/>
        <w:rPr>
          <w:sz w:val="24"/>
          <w:u w:val="single"/>
        </w:rPr>
      </w:pPr>
      <w:r>
        <w:rPr>
          <w:sz w:val="24"/>
          <w:u w:val="single"/>
        </w:rPr>
      </w:r>
    </w:p>
    <w:p>
      <w:pPr>
        <w:pStyle w:val="Normal"/>
        <w:numPr>
          <w:ilvl w:val="0"/>
          <w:numId w:val="2"/>
        </w:numPr>
        <w:rPr>
          <w:sz w:val="24"/>
        </w:rPr>
      </w:pPr>
      <w:r>
        <w:rPr>
          <w:sz w:val="24"/>
        </w:rPr>
        <w:t>EBS agrees to purchase $650 million of services from Global Crossing during the term of this agreement.  EBS further agrees to prepay any portion of the $650 million that can be secured by Global Crossing using a surety bond or other credit enhancing instrument.  For the prepaid amount, EBS will agree to minimum annual purchases over the deal term.  For any portion of this amount that is not prepaid, EBS will pay Global Crossing over the term of the agreement as services are delivered.  To the extent that Global Crossing experiences a material adverse change in its credit rating, EBS’s remaining obligation shall be adjusted to reflect that change.</w:t>
      </w:r>
    </w:p>
    <w:p>
      <w:pPr>
        <w:pStyle w:val="Normal"/>
        <w:rPr>
          <w:sz w:val="24"/>
        </w:rPr>
      </w:pPr>
      <w:r>
        <w:rPr>
          <w:sz w:val="24"/>
        </w:rPr>
      </w:r>
    </w:p>
    <w:p>
      <w:pPr>
        <w:pStyle w:val="Normal"/>
        <w:numPr>
          <w:ilvl w:val="0"/>
          <w:numId w:val="2"/>
        </w:numPr>
        <w:rPr>
          <w:sz w:val="24"/>
        </w:rPr>
      </w:pPr>
      <w:r>
        <w:rPr>
          <w:sz w:val="24"/>
        </w:rPr>
        <w:t>Any service purchased from Global Crossing or any Global Crossing affiliate by any Enron Corp affiliate during the term of the agreement will count toward the purchase obligation of EBS.</w:t>
      </w:r>
    </w:p>
    <w:p>
      <w:pPr>
        <w:pStyle w:val="Normal"/>
        <w:rPr>
          <w:sz w:val="24"/>
        </w:rPr>
      </w:pPr>
      <w:r>
        <w:rPr>
          <w:sz w:val="24"/>
        </w:rPr>
      </w:r>
    </w:p>
    <w:p>
      <w:pPr>
        <w:pStyle w:val="Normal"/>
        <w:rPr>
          <w:sz w:val="24"/>
        </w:rPr>
      </w:pPr>
      <w:r>
        <w:rPr>
          <w:sz w:val="24"/>
        </w:rPr>
      </w:r>
    </w:p>
    <w:p>
      <w:pPr>
        <w:pStyle w:val="Heading9"/>
        <w:ind w:hanging="0" w:start="0"/>
        <w:rPr/>
      </w:pPr>
      <w:r>
        <w:rPr/>
        <w:t>Services Pricing</w:t>
      </w:r>
    </w:p>
    <w:p>
      <w:pPr>
        <w:pStyle w:val="Normal"/>
        <w:rPr>
          <w:sz w:val="24"/>
        </w:rPr>
      </w:pPr>
      <w:r>
        <w:rPr>
          <w:sz w:val="24"/>
        </w:rPr>
      </w:r>
    </w:p>
    <w:p>
      <w:pPr>
        <w:pStyle w:val="Normal"/>
        <w:numPr>
          <w:ilvl w:val="0"/>
          <w:numId w:val="3"/>
        </w:numPr>
        <w:rPr>
          <w:sz w:val="24"/>
        </w:rPr>
      </w:pPr>
      <w:r>
        <w:rPr>
          <w:sz w:val="24"/>
        </w:rPr>
        <w:t>Enron may fulfill its purchase obligation by purchasing services either at market established prices or by purchasing services at fixed prices to be negotiated.</w:t>
      </w:r>
    </w:p>
    <w:p>
      <w:pPr>
        <w:pStyle w:val="Normal"/>
        <w:rPr>
          <w:sz w:val="24"/>
        </w:rPr>
      </w:pPr>
      <w:r>
        <w:rPr>
          <w:sz w:val="24"/>
        </w:rPr>
      </w:r>
    </w:p>
    <w:p>
      <w:pPr>
        <w:pStyle w:val="Normal"/>
        <w:numPr>
          <w:ilvl w:val="0"/>
          <w:numId w:val="3"/>
        </w:numPr>
        <w:rPr>
          <w:sz w:val="24"/>
        </w:rPr>
      </w:pPr>
      <w:r>
        <w:rPr>
          <w:sz w:val="24"/>
        </w:rPr>
        <w:t>Should a market index emerge that meets the criteria for such an index as established in this agreement, then such a market index may serve as a proxy for market price.</w:t>
      </w:r>
    </w:p>
    <w:p>
      <w:pPr>
        <w:pStyle w:val="Normal"/>
        <w:jc w:val="both"/>
        <w:rPr>
          <w:sz w:val="24"/>
        </w:rPr>
      </w:pPr>
      <w:r>
        <w:rPr>
          <w:sz w:val="24"/>
        </w:rPr>
      </w:r>
    </w:p>
    <w:p>
      <w:pPr>
        <w:pStyle w:val="Normal"/>
        <w:rPr>
          <w:sz w:val="24"/>
        </w:rPr>
      </w:pPr>
      <w:r>
        <w:rPr>
          <w:sz w:val="24"/>
        </w:rPr>
      </w:r>
      <w:r>
        <w:br w:type="page"/>
      </w:r>
    </w:p>
    <w:p>
      <w:pPr>
        <w:pStyle w:val="Normal"/>
        <w:jc w:val="center"/>
        <w:rPr>
          <w:b/>
          <w:sz w:val="24"/>
        </w:rPr>
      </w:pPr>
      <w:r>
        <w:rPr>
          <w:b/>
          <w:sz w:val="24"/>
        </w:rPr>
        <w:t>Exhibit 1</w:t>
      </w:r>
    </w:p>
    <w:p>
      <w:pPr>
        <w:pStyle w:val="Normal"/>
        <w:jc w:val="center"/>
        <w:rPr>
          <w:b/>
          <w:sz w:val="24"/>
        </w:rPr>
      </w:pPr>
      <w:r>
        <w:rPr>
          <w:b/>
          <w:sz w:val="24"/>
        </w:rPr>
      </w:r>
    </w:p>
    <w:p>
      <w:pPr>
        <w:pStyle w:val="Normal"/>
        <w:jc w:val="center"/>
        <w:rPr>
          <w:b/>
          <w:sz w:val="24"/>
        </w:rPr>
      </w:pPr>
      <w:r>
        <w:rPr>
          <w:b/>
          <w:sz w:val="24"/>
        </w:rPr>
        <w:t>EBS Network Assets and Map</w:t>
      </w:r>
    </w:p>
    <w:p>
      <w:pPr>
        <w:pStyle w:val="Normal"/>
        <w:jc w:val="center"/>
        <w:rPr/>
      </w:pPr>
      <w:r>
        <w:rPr>
          <w:sz w:val="22"/>
        </w:rPr>
        <w:t>Detailed list of assets to be provided.  In general, assets to be sold include the following routes (dark fiber, lit fiber, DWDM gear, repeater sites, conduit):</w:t>
      </w:r>
      <w:r>
        <w:rPr>
          <w:b/>
          <w:sz w:val="24"/>
        </w:rPr>
        <w:t xml:space="preserve"> </w:t>
      </w:r>
    </w:p>
    <w:p>
      <w:pPr>
        <w:pStyle w:val="Normal"/>
        <w:jc w:val="center"/>
        <w:rPr>
          <w:b/>
          <w:sz w:val="24"/>
        </w:rPr>
      </w:pPr>
      <w:r>
        <w:rPr>
          <w:b/>
          <w:sz w:val="24"/>
        </w:rPr>
      </w:r>
    </w:p>
    <w:p>
      <w:pPr>
        <w:pStyle w:val="Normal"/>
        <w:jc w:val="center"/>
        <w:rPr>
          <w:b/>
          <w:sz w:val="24"/>
          <w:lang w:val="en-CA" w:eastAsia="en-CA"/>
        </w:rPr>
      </w:pPr>
      <w:r>
        <w:rPr>
          <w:b/>
          <w:sz w:val="24"/>
          <w:lang w:val="en-CA" w:eastAsia="en-CA"/>
        </w:rPr>
        <w:object w:dxaOrig="10572" w:dyaOrig="1246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95pt;margin-top:4.5pt;width:452.25pt;height:433.05pt;mso-wrap-distance-left:9.05pt;mso-wrap-distance-right:9.05pt;mso-position-horizontal-relative:text;mso-position-vertical-relative:text" filled="f" o:ole="">
            <v:imagedata r:id="rId3" o:title=""/>
            <w10:wrap type="topAndBottom"/>
          </v:shape>
          <o:OLEObject Type="Embed" ProgID="Excel.Sheet.12" ShapeID="ole_rId2" DrawAspect="Content" ObjectID="_562831557" r:id="rId2"/>
        </w:object>
      </w:r>
    </w:p>
    <w:p>
      <w:pPr>
        <w:pStyle w:val="Normal"/>
        <w:rPr>
          <w:b/>
          <w:sz w:val="24"/>
        </w:rPr>
      </w:pPr>
      <w:r>
        <w:rPr>
          <w:b/>
          <w:sz w:val="24"/>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ind w:hanging="0" w:start="0"/>
      <w:rPr>
        <w:b w:val="false"/>
        <w:i/>
        <w:i/>
        <w:u w:val="none"/>
      </w:rPr>
    </w:pPr>
    <w:r>
      <w:rPr>
        <w:b w:val="false"/>
        <w:i/>
        <w:u w:val="none"/>
      </w:rPr>
    </w:r>
  </w:p>
  <w:p>
    <w:pPr>
      <w:pStyle w:val="Heading3"/>
      <w:ind w:hanging="0" w:start="0"/>
      <w:rPr>
        <w:b w:val="false"/>
        <w:i/>
        <w:i/>
        <w:sz w:val="18"/>
        <w:u w:val="none"/>
      </w:rPr>
    </w:pPr>
    <w:r>
      <w:rPr>
        <w:b w:val="false"/>
        <w:i/>
        <w:sz w:val="18"/>
        <w:u w:val="none"/>
      </w:rPr>
      <w:t>The prices in this proposal are subject to change until final agreement is reached.  This draft proposal is not a binding or enforceable contract of commitment obligating EBS to enter into any transaction and is for discussion purposes only.  This proposal does not create and is not intended to create a binding and enforceable contract between the parties or a duty on the part of either party to negotiate in good faith towards a binding contract, and may not be relied upon by either party as the basis for a contract by estoppel or otherwise, but rather evidences a non-binding expression of good faith understanding to endeavor, without obligation, to negotiate mutually agreeable definitive agreements</w:t>
    </w:r>
  </w:p>
  <w:p>
    <w:pPr>
      <w:pStyle w:val="Normal"/>
      <w:rPr>
        <w:b/>
        <w:i/>
        <w:i/>
        <w:sz w:val="18"/>
        <w:u w:val="none"/>
      </w:rPr>
    </w:pPr>
    <w:r>
      <w:rPr>
        <w:b/>
        <w:i/>
        <w:sz w:val="18"/>
        <w:u w:val="none"/>
      </w:rPr>
    </w:r>
  </w:p>
  <w:p>
    <w:pPr>
      <w:pStyle w:val="Heading3"/>
      <w:ind w:hanging="0" w:start="0"/>
      <w:jc w:val="center"/>
      <w:rPr/>
    </w:pPr>
    <w:r>
      <w:rPr>
        <w:rStyle w:val="PageNumber"/>
        <w:b/>
        <w:sz w:val="20"/>
        <w:u w:val="none"/>
      </w:rPr>
      <w:fldChar w:fldCharType="begin"/>
    </w:r>
    <w:r>
      <w:rPr>
        <w:rStyle w:val="PageNumber"/>
        <w:sz w:val="20"/>
        <w:u w:val="none"/>
        <w:b/>
      </w:rPr>
      <w:instrText xml:space="preserve"> PAGE </w:instrText>
    </w:r>
    <w:r>
      <w:rPr>
        <w:rStyle w:val="PageNumber"/>
        <w:sz w:val="20"/>
        <w:u w:val="none"/>
        <w:b/>
      </w:rPr>
      <w:fldChar w:fldCharType="separate"/>
    </w:r>
    <w:r>
      <w:rPr>
        <w:rStyle w:val="PageNumber"/>
        <w:sz w:val="20"/>
        <w:u w:val="none"/>
        <w:b/>
      </w:rPr>
      <w:t>3</w:t>
    </w:r>
    <w:r>
      <w:rPr>
        <w:rStyle w:val="PageNumber"/>
        <w:sz w:val="20"/>
        <w:u w:val="none"/>
        <w:b/>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Global Crossing Ltd.</w:t>
      <w:tab/>
      <w:tab/>
      <w:t>Enron Broadband Services, Inc.</w:t>
    </w:r>
  </w:p>
  <w:p>
    <w:pPr>
      <w:pStyle w:val="Header"/>
      <w:rPr/>
    </w:pPr>
    <w:r>
      <w:rPr/>
    </w:r>
  </w:p>
  <w:p>
    <w:pPr>
      <w:pStyle w:val="Header"/>
      <w:rPr/>
    </w:pPr>
    <w:r>
      <w:rPr/>
      <w:fldChar w:fldCharType="begin"/>
    </w:r>
    <w:r>
      <w:rPr/>
      <w:instrText xml:space="preserve"> TIME \@"H:mm\ AM/PM" </w:instrText>
    </w:r>
    <w:r>
      <w:rPr/>
      <w:fldChar w:fldCharType="separate"/>
    </w:r>
    <w:r>
      <w:rPr/>
      <w:t>8:43 AM</w:t>
    </w:r>
    <w:r>
      <w:rPr/>
      <w:fldChar w:fldCharType="end"/>
    </w:r>
    <w:r>
      <w:rPr/>
      <w:tab/>
      <w:t>DRAFT TERM SHEET</w:t>
      <w:tab/>
    </w:r>
    <w:r>
      <w:rPr/>
      <w:fldChar w:fldCharType="begin"/>
    </w:r>
    <w:r>
      <w:rPr/>
      <w:instrText xml:space="preserve"> DATE \@"MM\/dd\/yy" </w:instrText>
    </w:r>
    <w:r>
      <w:rPr/>
      <w:fldChar w:fldCharType="separate"/>
    </w:r>
    <w:r>
      <w:rPr/>
      <w:t>09/28/25</w:t>
    </w:r>
    <w:r>
      <w:rPr/>
      <w:fldChar w:fldCharType="end"/>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u w:val="single"/>
    </w:rPr>
  </w:style>
  <w:style w:type="paragraph" w:styleId="Heading4">
    <w:name w:val="heading 4"/>
    <w:basedOn w:val="Normal"/>
    <w:next w:val="Normal"/>
    <w:qFormat/>
    <w:pPr>
      <w:keepNext w:val="true"/>
      <w:numPr>
        <w:ilvl w:val="3"/>
        <w:numId w:val="1"/>
      </w:numPr>
      <w:jc w:val="both"/>
      <w:outlineLvl w:val="3"/>
    </w:pPr>
    <w:rPr>
      <w:sz w:val="24"/>
    </w:rPr>
  </w:style>
  <w:style w:type="paragraph" w:styleId="Heading5">
    <w:name w:val="heading 5"/>
    <w:basedOn w:val="Normal"/>
    <w:next w:val="Normal"/>
    <w:qFormat/>
    <w:pPr>
      <w:keepNext w:val="true"/>
      <w:numPr>
        <w:ilvl w:val="4"/>
        <w:numId w:val="1"/>
      </w:numPr>
      <w:ind w:hanging="0" w:start="2880" w:end="0"/>
      <w:jc w:val="both"/>
      <w:outlineLvl w:val="4"/>
    </w:pPr>
    <w:rPr>
      <w:sz w:val="24"/>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outlineLvl w:val="7"/>
    </w:pPr>
    <w:rPr>
      <w:b/>
      <w:sz w:val="24"/>
    </w:rPr>
  </w:style>
  <w:style w:type="paragraph" w:styleId="Heading9">
    <w:name w:val="heading 9"/>
    <w:basedOn w:val="Normal"/>
    <w:next w:val="Normal"/>
    <w:qFormat/>
    <w:pPr>
      <w:keepNext w:val="true"/>
      <w:numPr>
        <w:ilvl w:val="8"/>
        <w:numId w:val="1"/>
      </w:numPr>
      <w:outlineLvl w:val="8"/>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4"/>
    </w:rPr>
  </w:style>
  <w:style w:type="paragraph" w:styleId="BodyTextIndent2">
    <w:name w:val="Body Text Indent 2"/>
    <w:basedOn w:val="Normal"/>
    <w:qFormat/>
    <w:pPr>
      <w:ind w:hanging="2160" w:start="2160" w:end="0"/>
      <w:jc w:val="both"/>
    </w:pPr>
    <w:rPr>
      <w:sz w:val="24"/>
    </w:rPr>
  </w:style>
  <w:style w:type="paragraph" w:styleId="BodyTextIndent3">
    <w:name w:val="Body Text Indent 3"/>
    <w:basedOn w:val="Normal"/>
    <w:qFormat/>
    <w:pPr>
      <w:ind w:hanging="2880" w:start="2880" w:end="0"/>
      <w:jc w:val="both"/>
    </w:pPr>
    <w:rPr>
      <w:sz w:val="24"/>
    </w:rPr>
  </w:style>
  <w:style w:type="paragraph" w:styleId="BodyText2">
    <w:name w:val="Body Text 2"/>
    <w:basedOn w:val="Normal"/>
    <w:qFormat/>
    <w:pPr/>
    <w:rPr>
      <w:b/>
      <w:sz w:val="36"/>
    </w:rPr>
  </w:style>
  <w:style w:type="paragraph" w:styleId="BodyText3">
    <w:name w:val="Body Text 3"/>
    <w:basedOn w:val="Normal"/>
    <w:qFormat/>
    <w:pPr>
      <w:jc w:val="both"/>
    </w:pPr>
    <w:rPr>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2001-06-11T16:32:00Z</dcterms:created>
  <dc:creator>brian_orourke</dc:creator>
  <dc:description/>
  <dc:language>en-CA</dc:language>
  <cp:lastModifiedBy>sseeligs</cp:lastModifiedBy>
  <cp:lastPrinted>2001-06-11T13:56:00Z</cp:lastPrinted>
  <dcterms:modified xsi:type="dcterms:W3CDTF">2001-06-11T16:32:00Z</dcterms:modified>
  <cp:revision>2</cp:revision>
  <dc:subject/>
  <dc:title>Qwest Communications/Enron Broadband Services</dc:title>
</cp:coreProperties>
</file>