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caps/>
          <w:spacing w:val="40"/>
        </w:rPr>
      </w:pPr>
      <w:r>
        <w:rPr>
          <w:caps/>
          <w:spacing w:val="40"/>
        </w:rPr>
        <w:t>GUARANTY</w:t>
      </w:r>
    </w:p>
    <w:p>
      <w:pPr>
        <w:pStyle w:val="Normal"/>
        <w:jc w:val="both"/>
        <w:rPr>
          <w:caps/>
          <w:spacing w:val="40"/>
        </w:rPr>
      </w:pPr>
      <w:r>
        <w:rPr>
          <w:caps/>
          <w:spacing w:val="40"/>
        </w:rPr>
      </w:r>
    </w:p>
    <w:p>
      <w:pPr>
        <w:pStyle w:val="Normal"/>
        <w:jc w:val="both"/>
        <w:rPr/>
      </w:pPr>
      <w:r>
        <w:rPr/>
      </w:r>
    </w:p>
    <w:p>
      <w:pPr>
        <w:pStyle w:val="Normal"/>
        <w:jc w:val="both"/>
        <w:rPr/>
      </w:pPr>
      <w:r>
        <w:rPr/>
        <w:t>This guaranty (this “Guaranty”), effective upon execution, is made and entered into by United Power, Inc., a Colorado corporation (“Guarantor”).</w:t>
      </w:r>
    </w:p>
    <w:p>
      <w:pPr>
        <w:pStyle w:val="Normal"/>
        <w:jc w:val="both"/>
        <w:rPr/>
      </w:pPr>
      <w:r>
        <w:rPr/>
      </w:r>
    </w:p>
    <w:p>
      <w:pPr>
        <w:pStyle w:val="Normal"/>
        <w:jc w:val="both"/>
        <w:rPr/>
      </w:pPr>
      <w:r>
        <w:rPr/>
      </w:r>
    </w:p>
    <w:p>
      <w:pPr>
        <w:pStyle w:val="Normal"/>
        <w:jc w:val="both"/>
        <w:rPr/>
      </w:pPr>
      <w:r>
        <w:rPr/>
      </w:r>
    </w:p>
    <w:p>
      <w:pPr>
        <w:pStyle w:val="Normal"/>
        <w:numPr>
          <w:ilvl w:val="0"/>
          <w:numId w:val="0"/>
        </w:numPr>
        <w:jc w:val="center"/>
        <w:outlineLvl w:val="0"/>
        <w:rPr>
          <w:b/>
          <w:caps/>
          <w:spacing w:val="100"/>
        </w:rPr>
      </w:pPr>
      <w:r>
        <w:rPr>
          <w:b/>
          <w:caps/>
          <w:spacing w:val="100"/>
        </w:rPr>
        <w:t>Witnesseth:</w:t>
      </w:r>
    </w:p>
    <w:p>
      <w:pPr>
        <w:pStyle w:val="Normal"/>
        <w:jc w:val="both"/>
        <w:rPr>
          <w:b/>
          <w:caps/>
          <w:spacing w:val="100"/>
        </w:rPr>
      </w:pPr>
      <w:r>
        <w:rPr>
          <w:b/>
          <w:caps/>
          <w:spacing w:val="100"/>
        </w:rPr>
      </w:r>
    </w:p>
    <w:p>
      <w:pPr>
        <w:pStyle w:val="Normal"/>
        <w:jc w:val="both"/>
        <w:rPr/>
      </w:pPr>
      <w:r>
        <w:rPr>
          <w:caps/>
        </w:rPr>
        <w:t>Whereas</w:t>
      </w:r>
      <w:r>
        <w:rPr/>
        <w:t>, Enron North America Corp. (“ENA”) a Delaware corporation, and Midwest United Energy, LLC (“MUE”), are contemplating the purchase or sale of physical gas and/or entering into one or more swap, option or other financially-settled derivative transactions, which transactions will be evidenced by one or more swap agreements, confirmation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“Contracts”); and</w:t>
      </w:r>
    </w:p>
    <w:p>
      <w:pPr>
        <w:pStyle w:val="Normal"/>
        <w:jc w:val="both"/>
        <w:rPr/>
      </w:pPr>
      <w:r>
        <w:rPr/>
      </w:r>
    </w:p>
    <w:p>
      <w:pPr>
        <w:pStyle w:val="BodyText"/>
        <w:rPr/>
      </w:pPr>
      <w:r>
        <w:rPr/>
        <w:t>WHEREAS, in order to induce ENA to enter into the Contracts with MUE, United Power (“Guarantor”) is willing to execute, deliver and perform under this Guaranty.</w:t>
      </w:r>
    </w:p>
    <w:p>
      <w:pPr>
        <w:pStyle w:val="Normal"/>
        <w:jc w:val="both"/>
        <w:rPr/>
      </w:pPr>
      <w:r>
        <w:rPr/>
      </w:r>
    </w:p>
    <w:p>
      <w:pPr>
        <w:pStyle w:val="Normal"/>
        <w:jc w:val="both"/>
        <w:rPr/>
      </w:pPr>
      <w:r>
        <w:rPr/>
        <w:t xml:space="preserve">NOW THEREFORE, in consideration of the premises set forth above, Guarantor agrees as follows: </w:t>
      </w:r>
    </w:p>
    <w:p>
      <w:pPr>
        <w:pStyle w:val="Normal"/>
        <w:jc w:val="both"/>
        <w:rPr/>
      </w:pPr>
      <w:r>
        <w:rPr/>
      </w:r>
    </w:p>
    <w:p>
      <w:pPr>
        <w:pStyle w:val="Normal"/>
        <w:ind w:hanging="432" w:start="720" w:end="0"/>
        <w:jc w:val="both"/>
        <w:rPr/>
      </w:pPr>
      <w:r>
        <w:rPr/>
        <w:t>1.</w:t>
        <w:tab/>
        <w:t>The Guarantor hereby guarantees to ENA the payment of any sums when due from March 1, 2000 to October 31, 2000 under one or more of the Contracts, up to an aggregate amount not to exceed $1,000,000.  Unless sooner terminated, this Guaranty shall expire one year from execution.</w:t>
      </w:r>
    </w:p>
    <w:p>
      <w:pPr>
        <w:pStyle w:val="Normal"/>
        <w:jc w:val="both"/>
        <w:rPr/>
      </w:pPr>
      <w:r>
        <w:rPr/>
      </w:r>
    </w:p>
    <w:p>
      <w:pPr>
        <w:pStyle w:val="Normal"/>
        <w:ind w:hanging="432" w:start="720" w:end="0"/>
        <w:jc w:val="both"/>
        <w:rPr/>
      </w:pPr>
      <w:r>
        <w:rPr/>
        <w:t>2.</w:t>
        <w:tab/>
        <w:t>If MUE shall fail or refuse to pay all or any part of the amount due under one or more of the Contracts, Guarantor, within two business days after receipt of written demand for payment from ENA, shall pay the amount due to ENA in full pursuant to the terms of such Contracts. ENA’s demand shall state in reasonable detail the circumstances constituting MUE’s failure or refusal to so pay.</w:t>
      </w:r>
    </w:p>
    <w:p>
      <w:pPr>
        <w:pStyle w:val="Normal"/>
        <w:jc w:val="both"/>
        <w:rPr/>
      </w:pPr>
      <w:r>
        <w:rPr/>
      </w:r>
    </w:p>
    <w:p>
      <w:pPr>
        <w:pStyle w:val="Normal"/>
        <w:ind w:hanging="432" w:start="720" w:end="0"/>
        <w:jc w:val="both"/>
        <w:rPr/>
      </w:pPr>
      <w:r>
        <w:rPr/>
        <w:t>3.</w:t>
        <w:tab/>
        <w:t>This Guaranty is a primary obligation of Guarantor, and ENA is not required as a condition to the enforcement of its rights to make any demand upon, or pursue any of its rights or remedies against MUE prior to making a demand on and against Guarantor.  Guarantor shall satisfy its payment obligations under this Guaranty notwithstanding the fact that Guarantor does not limit in any way its own defenses and rights hereunder, and Guarantor further reserves to itself all rights and defenses, to include without limitation set-offs and counterclaims, to which ENA is or may entitled to arising from or out of the Contracts, or otherwise may be entitled.</w:t>
      </w:r>
    </w:p>
    <w:p>
      <w:pPr>
        <w:pStyle w:val="Normal"/>
        <w:jc w:val="both"/>
        <w:rPr/>
      </w:pPr>
      <w:r>
        <w:rPr/>
      </w:r>
    </w:p>
    <w:p>
      <w:pPr>
        <w:pStyle w:val="Normal"/>
        <w:ind w:hanging="432" w:start="720" w:end="0"/>
        <w:jc w:val="both"/>
        <w:rPr/>
      </w:pPr>
      <w:r>
        <w:rPr/>
        <w:t>4.</w:t>
        <w:tab/>
        <w:t>This Guaranty constitutes a guaranty of payment and not of collection.  The Guarantor’s liability is limited to amounts due under the Contracts, not to exceed $1,000,000 in the aggregate under any one or among all Contracts.  The Guarantor shall in no event have any liability for compensatory, consequential, exemplary or punitive, special, incidental, economic, tort, or any other type of damage or cost, including without limitation, attorney’s fees and costs, whether in law, equity, or otherwise that ENA may incur under the Contracts.</w:t>
      </w:r>
    </w:p>
    <w:p>
      <w:pPr>
        <w:pStyle w:val="Normal"/>
        <w:jc w:val="both"/>
        <w:rPr/>
      </w:pPr>
      <w:r>
        <w:rPr/>
      </w:r>
    </w:p>
    <w:p>
      <w:pPr>
        <w:pStyle w:val="Normal"/>
        <w:ind w:hanging="432" w:start="720" w:end="0"/>
        <w:jc w:val="both"/>
        <w:rPr/>
      </w:pPr>
      <w:r>
        <w:rPr/>
        <w:t>5.</w:t>
        <w:tab/>
        <w:t>No term or provision of this Guaranty shall be amended, modified waived or supplemented except in writing and signed by  the Guarantor and ENA.</w:t>
      </w:r>
    </w:p>
    <w:p>
      <w:pPr>
        <w:pStyle w:val="Normal"/>
        <w:jc w:val="both"/>
        <w:rPr/>
      </w:pPr>
      <w:r>
        <w:rPr/>
      </w:r>
    </w:p>
    <w:p>
      <w:pPr>
        <w:pStyle w:val="Normal"/>
        <w:ind w:hanging="432" w:start="720" w:end="0"/>
        <w:jc w:val="both"/>
        <w:rPr/>
      </w:pPr>
      <w:r>
        <w:rPr/>
        <w:t>6.</w:t>
        <w:tab/>
        <w:t>This Guaranty inures in all respects to the benefit of ENA and its successors; provided, however, that this Guaranty may be assigned only upon the prior written consent of the Guarantor, which consent shall not be unreasonably withheld.</w:t>
      </w:r>
    </w:p>
    <w:p>
      <w:pPr>
        <w:pStyle w:val="Normal"/>
        <w:jc w:val="both"/>
        <w:rPr/>
      </w:pPr>
      <w:r>
        <w:rPr/>
      </w:r>
    </w:p>
    <w:p>
      <w:pPr>
        <w:pStyle w:val="Normal"/>
        <w:ind w:hanging="432" w:start="720" w:end="0"/>
        <w:jc w:val="both"/>
        <w:rPr/>
      </w:pPr>
      <w:r>
        <w:rPr/>
        <w:t>7.</w:t>
        <w:tab/>
        <w:t>This Guaranty shall become effective after execution hereof by the Guarantor and ENA.  Guarantor may terminate this Guaranty at any time by providing written notice to ENA.  The termination becomes effective immediately upon receipt by ENA. No such termination shall affect Guarantor’s liability with respect to any indebtedness incurred by MUE prior to the time the termination is effective.</w:t>
      </w:r>
    </w:p>
    <w:p>
      <w:pPr>
        <w:pStyle w:val="Normal"/>
        <w:jc w:val="both"/>
        <w:rPr/>
      </w:pPr>
      <w:r>
        <w:rPr/>
      </w:r>
    </w:p>
    <w:p>
      <w:pPr>
        <w:pStyle w:val="Normal"/>
        <w:ind w:hanging="432" w:start="720" w:end="0"/>
        <w:jc w:val="both"/>
        <w:rPr/>
      </w:pPr>
      <w:r>
        <w:rPr/>
        <w:t>8.</w:t>
        <w:tab/>
        <w:t>Guarantor represents and warrants that:</w:t>
      </w:r>
    </w:p>
    <w:p>
      <w:pPr>
        <w:pStyle w:val="Normal"/>
        <w:jc w:val="both"/>
        <w:rPr/>
      </w:pPr>
      <w:r>
        <w:rPr/>
      </w:r>
    </w:p>
    <w:p>
      <w:pPr>
        <w:pStyle w:val="Normal"/>
        <w:numPr>
          <w:ilvl w:val="0"/>
          <w:numId w:val="1"/>
        </w:numPr>
        <w:jc w:val="both"/>
        <w:rPr/>
      </w:pPr>
      <w:r>
        <w:rPr/>
        <w:t>it is a corporation duly organized and validly existing under the laws of the State of its incorporation and has the power and authority to execute, deliver and carry out the terms and provisions of this Guaranty;</w:t>
      </w:r>
    </w:p>
    <w:p>
      <w:pPr>
        <w:pStyle w:val="Normal"/>
        <w:numPr>
          <w:ilvl w:val="0"/>
          <w:numId w:val="1"/>
        </w:numPr>
        <w:jc w:val="both"/>
        <w:rPr/>
      </w:pPr>
      <w:r>
        <w:rPr/>
        <w:t>no further authorization or approval is required on the part of Guarantor for the execution and delivery of this Guaranty;</w:t>
      </w:r>
    </w:p>
    <w:p>
      <w:pPr>
        <w:pStyle w:val="Normal"/>
        <w:numPr>
          <w:ilvl w:val="0"/>
          <w:numId w:val="1"/>
        </w:numPr>
        <w:jc w:val="both"/>
        <w:rPr/>
      </w:pPr>
      <w:r>
        <w:rPr/>
        <w:t>this Guaranty consititutes a valid and legally binding agreement of Guarantor.</w:t>
      </w:r>
    </w:p>
    <w:p>
      <w:pPr>
        <w:pStyle w:val="Normal"/>
        <w:tabs>
          <w:tab w:val="clear" w:pos="720"/>
          <w:tab w:val="left" w:pos="900" w:leader="none"/>
          <w:tab w:val="left" w:pos="2880" w:leader="none"/>
        </w:tabs>
        <w:ind w:hanging="720" w:start="720" w:end="0"/>
        <w:jc w:val="both"/>
        <w:rPr/>
      </w:pPr>
      <w:r>
        <w:rPr/>
      </w:r>
    </w:p>
    <w:p>
      <w:pPr>
        <w:pStyle w:val="Normal"/>
        <w:tabs>
          <w:tab w:val="clear" w:pos="720"/>
          <w:tab w:val="left" w:pos="900" w:leader="none"/>
          <w:tab w:val="left" w:pos="2880" w:leader="none"/>
        </w:tabs>
        <w:ind w:hanging="720" w:start="720" w:end="0"/>
        <w:jc w:val="both"/>
        <w:rPr/>
      </w:pPr>
      <w:r>
        <w:rPr/>
        <w:t xml:space="preserve">     </w:t>
      </w:r>
      <w:r>
        <w:rPr/>
        <w:t>9.</w:t>
        <w:tab/>
        <w:t>Any notice, request, correspondence, or other document presented under this Guaranty shall be in writing and delivered personally, by certified mail/return receipt, by facsimile or by a nationally-recognized overnight courier, as follows:</w:t>
      </w:r>
    </w:p>
    <w:p>
      <w:pPr>
        <w:pStyle w:val="Normal"/>
        <w:jc w:val="both"/>
        <w:rPr/>
      </w:pPr>
      <w:r>
        <w:rPr/>
      </w:r>
    </w:p>
    <w:p>
      <w:pPr>
        <w:pStyle w:val="Normal"/>
        <w:tabs>
          <w:tab w:val="clear" w:pos="720"/>
          <w:tab w:val="left" w:pos="2880" w:leader="none"/>
        </w:tabs>
        <w:ind w:start="720" w:end="0"/>
        <w:jc w:val="both"/>
        <w:rPr/>
      </w:pPr>
      <w:r>
        <w:rPr/>
        <w:t xml:space="preserve">To Guarantor: </w:t>
        <w:tab/>
        <w:t>United Power, Inc.</w:t>
      </w:r>
    </w:p>
    <w:p>
      <w:pPr>
        <w:pStyle w:val="Normal"/>
        <w:tabs>
          <w:tab w:val="clear" w:pos="720"/>
          <w:tab w:val="left" w:pos="2880" w:leader="none"/>
        </w:tabs>
        <w:ind w:start="720" w:end="0"/>
        <w:jc w:val="both"/>
        <w:rPr/>
      </w:pPr>
      <w:r>
        <w:rPr/>
        <w:tab/>
        <w:t>18551 E. 160</w:t>
      </w:r>
      <w:r>
        <w:rPr>
          <w:vertAlign w:val="superscript"/>
        </w:rPr>
        <w:t>th</w:t>
      </w:r>
      <w:r>
        <w:rPr/>
        <w:t xml:space="preserve"> Avenue</w:t>
      </w:r>
    </w:p>
    <w:p>
      <w:pPr>
        <w:pStyle w:val="Normal"/>
        <w:tabs>
          <w:tab w:val="clear" w:pos="720"/>
          <w:tab w:val="left" w:pos="2880" w:leader="none"/>
        </w:tabs>
        <w:ind w:start="720" w:end="0"/>
        <w:jc w:val="both"/>
        <w:rPr/>
      </w:pPr>
      <w:r>
        <w:rPr/>
        <w:tab/>
        <w:t>P.O. Box 929</w:t>
      </w:r>
    </w:p>
    <w:p>
      <w:pPr>
        <w:pStyle w:val="Normal"/>
        <w:tabs>
          <w:tab w:val="clear" w:pos="720"/>
          <w:tab w:val="left" w:pos="2880" w:leader="none"/>
        </w:tabs>
        <w:ind w:start="720" w:end="0"/>
        <w:jc w:val="both"/>
        <w:rPr/>
      </w:pPr>
      <w:r>
        <w:rPr/>
        <w:tab/>
        <w:t>Brighton, CO  80601-0929</w:t>
      </w:r>
    </w:p>
    <w:p>
      <w:pPr>
        <w:pStyle w:val="Normal"/>
        <w:tabs>
          <w:tab w:val="clear" w:pos="720"/>
          <w:tab w:val="left" w:pos="2880" w:leader="none"/>
        </w:tabs>
        <w:ind w:start="720" w:end="0"/>
        <w:jc w:val="both"/>
        <w:rPr/>
      </w:pPr>
      <w:r>
        <w:rPr/>
        <w:tab/>
        <w:t>Attn: General Manager</w:t>
      </w:r>
    </w:p>
    <w:p>
      <w:pPr>
        <w:pStyle w:val="Normal"/>
        <w:tabs>
          <w:tab w:val="clear" w:pos="720"/>
          <w:tab w:val="left" w:pos="2880" w:leader="none"/>
        </w:tabs>
        <w:ind w:start="720" w:end="0"/>
        <w:jc w:val="both"/>
        <w:rPr/>
      </w:pPr>
      <w:r>
        <w:rPr/>
        <w:tab/>
        <w:t>Fax:  (303) 659-2172</w:t>
      </w:r>
    </w:p>
    <w:p>
      <w:pPr>
        <w:pStyle w:val="Normal"/>
        <w:tabs>
          <w:tab w:val="clear" w:pos="720"/>
          <w:tab w:val="left" w:pos="2880" w:leader="none"/>
        </w:tabs>
        <w:ind w:start="720" w:end="0"/>
        <w:jc w:val="both"/>
        <w:rPr/>
      </w:pPr>
      <w:r>
        <w:rPr/>
        <w:tab/>
        <w:t>Phone:  (303) 659-0551</w:t>
      </w:r>
      <w:r>
        <w:br w:type="page"/>
      </w:r>
    </w:p>
    <w:p>
      <w:pPr>
        <w:pStyle w:val="Normal"/>
        <w:jc w:val="both"/>
        <w:rPr/>
      </w:pPr>
      <w:r>
        <w:rPr/>
      </w:r>
    </w:p>
    <w:p>
      <w:pPr>
        <w:pStyle w:val="Normal"/>
        <w:tabs>
          <w:tab w:val="clear" w:pos="720"/>
          <w:tab w:val="left" w:pos="1440" w:leader="none"/>
          <w:tab w:val="left" w:pos="2880" w:leader="none"/>
        </w:tabs>
        <w:ind w:start="720" w:end="0"/>
        <w:jc w:val="both"/>
        <w:rPr/>
      </w:pPr>
      <w:r>
        <w:rPr/>
        <w:t>To MUE:</w:t>
        <w:tab/>
        <w:t>Midwest United Energy, LLC</w:t>
      </w:r>
    </w:p>
    <w:p>
      <w:pPr>
        <w:pStyle w:val="Normal"/>
        <w:tabs>
          <w:tab w:val="clear" w:pos="720"/>
          <w:tab w:val="left" w:pos="1440" w:leader="none"/>
          <w:tab w:val="left" w:pos="2880" w:leader="none"/>
        </w:tabs>
        <w:ind w:start="720" w:end="0"/>
        <w:jc w:val="both"/>
        <w:rPr/>
      </w:pPr>
      <w:r>
        <w:rPr/>
        <w:tab/>
        <w:tab/>
        <w:t>8774 Yates Drive, Suite 200</w:t>
      </w:r>
    </w:p>
    <w:p>
      <w:pPr>
        <w:pStyle w:val="Normal"/>
        <w:tabs>
          <w:tab w:val="clear" w:pos="720"/>
          <w:tab w:val="left" w:pos="1440" w:leader="none"/>
          <w:tab w:val="left" w:pos="2880" w:leader="none"/>
        </w:tabs>
        <w:ind w:start="720" w:end="0"/>
        <w:jc w:val="both"/>
        <w:rPr/>
      </w:pPr>
      <w:r>
        <w:rPr/>
        <w:tab/>
        <w:tab/>
        <w:t>Westminster, CO  80031</w:t>
      </w:r>
    </w:p>
    <w:p>
      <w:pPr>
        <w:pStyle w:val="Normal"/>
        <w:tabs>
          <w:tab w:val="clear" w:pos="720"/>
          <w:tab w:val="left" w:pos="1440" w:leader="none"/>
          <w:tab w:val="left" w:pos="2880" w:leader="none"/>
        </w:tabs>
        <w:ind w:start="720" w:end="0"/>
        <w:jc w:val="both"/>
        <w:rPr/>
      </w:pPr>
      <w:r>
        <w:rPr/>
        <w:tab/>
        <w:tab/>
        <w:t>Attn: Chief Financial Officer</w:t>
      </w:r>
    </w:p>
    <w:p>
      <w:pPr>
        <w:pStyle w:val="Normal"/>
        <w:tabs>
          <w:tab w:val="clear" w:pos="720"/>
          <w:tab w:val="left" w:pos="1440" w:leader="none"/>
          <w:tab w:val="left" w:pos="2880" w:leader="none"/>
        </w:tabs>
        <w:ind w:start="720" w:end="0"/>
        <w:jc w:val="both"/>
        <w:rPr/>
      </w:pPr>
      <w:r>
        <w:rPr/>
        <w:tab/>
        <w:tab/>
        <w:t>Fax: (720) 540-3328</w:t>
      </w:r>
    </w:p>
    <w:p>
      <w:pPr>
        <w:pStyle w:val="Normal"/>
        <w:tabs>
          <w:tab w:val="clear" w:pos="720"/>
          <w:tab w:val="left" w:pos="1440" w:leader="none"/>
          <w:tab w:val="left" w:pos="2880" w:leader="none"/>
        </w:tabs>
        <w:ind w:start="720" w:end="0"/>
        <w:jc w:val="both"/>
        <w:rPr/>
      </w:pPr>
      <w:r>
        <w:rPr/>
        <w:tab/>
        <w:tab/>
        <w:t>Phone: (720) 540-8206</w:t>
      </w:r>
    </w:p>
    <w:p>
      <w:pPr>
        <w:pStyle w:val="Normal"/>
        <w:tabs>
          <w:tab w:val="clear" w:pos="720"/>
          <w:tab w:val="left" w:pos="900" w:leader="none"/>
          <w:tab w:val="left" w:pos="2880" w:leader="none"/>
        </w:tabs>
        <w:jc w:val="both"/>
        <w:rPr/>
      </w:pPr>
      <w:r>
        <w:rPr/>
      </w:r>
    </w:p>
    <w:p>
      <w:pPr>
        <w:pStyle w:val="Normal"/>
        <w:tabs>
          <w:tab w:val="clear" w:pos="720"/>
          <w:tab w:val="left" w:pos="900" w:leader="none"/>
          <w:tab w:val="left" w:pos="2880" w:leader="none"/>
        </w:tabs>
        <w:jc w:val="both"/>
        <w:rPr/>
      </w:pPr>
      <w:r>
        <w:rPr/>
        <w:t xml:space="preserve">            </w:t>
      </w:r>
      <w:r>
        <w:rPr/>
        <w:t>To ENA:</w:t>
        <w:tab/>
        <w:t>Enron North America Corp.</w:t>
      </w:r>
    </w:p>
    <w:p>
      <w:pPr>
        <w:pStyle w:val="Normal"/>
        <w:tabs>
          <w:tab w:val="clear" w:pos="720"/>
          <w:tab w:val="left" w:pos="900" w:leader="none"/>
          <w:tab w:val="left" w:pos="2880" w:leader="none"/>
        </w:tabs>
        <w:jc w:val="both"/>
        <w:rPr/>
      </w:pPr>
      <w:r>
        <w:rPr/>
        <w:tab/>
        <w:tab/>
        <w:t>1400 Smith Street</w:t>
      </w:r>
    </w:p>
    <w:p>
      <w:pPr>
        <w:pStyle w:val="Normal"/>
        <w:tabs>
          <w:tab w:val="clear" w:pos="720"/>
          <w:tab w:val="left" w:pos="900" w:leader="none"/>
          <w:tab w:val="left" w:pos="2880" w:leader="none"/>
        </w:tabs>
        <w:jc w:val="both"/>
        <w:rPr/>
      </w:pPr>
      <w:r>
        <w:rPr/>
        <w:tab/>
        <w:tab/>
        <w:t>Houston, TX  77002</w:t>
      </w:r>
    </w:p>
    <w:p>
      <w:pPr>
        <w:pStyle w:val="Normal"/>
        <w:tabs>
          <w:tab w:val="clear" w:pos="720"/>
          <w:tab w:val="left" w:pos="900" w:leader="none"/>
          <w:tab w:val="left" w:pos="2880" w:leader="none"/>
        </w:tabs>
        <w:jc w:val="both"/>
        <w:rPr/>
      </w:pPr>
      <w:r>
        <w:rPr/>
        <w:tab/>
        <w:tab/>
        <w:t>Attn: Director, Documentation</w:t>
      </w:r>
    </w:p>
    <w:p>
      <w:pPr>
        <w:pStyle w:val="Normal"/>
        <w:tabs>
          <w:tab w:val="clear" w:pos="720"/>
          <w:tab w:val="left" w:pos="900" w:leader="none"/>
          <w:tab w:val="left" w:pos="2880" w:leader="none"/>
        </w:tabs>
        <w:jc w:val="both"/>
        <w:rPr/>
      </w:pPr>
      <w:r>
        <w:rPr/>
        <w:tab/>
        <w:tab/>
        <w:t>Fax: (713) 646-4816</w:t>
      </w:r>
    </w:p>
    <w:p>
      <w:pPr>
        <w:pStyle w:val="Normal"/>
        <w:tabs>
          <w:tab w:val="clear" w:pos="720"/>
          <w:tab w:val="left" w:pos="900" w:leader="none"/>
          <w:tab w:val="left" w:pos="2880" w:leader="none"/>
        </w:tabs>
        <w:jc w:val="both"/>
        <w:rPr/>
      </w:pPr>
      <w:r>
        <w:rPr/>
        <w:tab/>
        <w:tab/>
      </w:r>
    </w:p>
    <w:p>
      <w:pPr>
        <w:pStyle w:val="Normal"/>
        <w:tabs>
          <w:tab w:val="clear" w:pos="720"/>
          <w:tab w:val="left" w:pos="900" w:leader="none"/>
          <w:tab w:val="left" w:pos="2880" w:leader="none"/>
        </w:tabs>
        <w:jc w:val="both"/>
        <w:rPr/>
      </w:pPr>
      <w:r>
        <w:rPr/>
        <w:tab/>
        <w:tab/>
        <w:t>Attn: Corporate Secretary</w:t>
      </w:r>
    </w:p>
    <w:p>
      <w:pPr>
        <w:pStyle w:val="Normal"/>
        <w:tabs>
          <w:tab w:val="clear" w:pos="720"/>
          <w:tab w:val="left" w:pos="900" w:leader="none"/>
          <w:tab w:val="left" w:pos="2880" w:leader="none"/>
        </w:tabs>
        <w:jc w:val="both"/>
        <w:rPr/>
      </w:pPr>
      <w:r>
        <w:rPr/>
        <w:tab/>
        <w:tab/>
        <w:t>Fax: (713) 853-2534</w:t>
      </w:r>
    </w:p>
    <w:p>
      <w:pPr>
        <w:pStyle w:val="Normal"/>
        <w:tabs>
          <w:tab w:val="clear" w:pos="720"/>
          <w:tab w:val="left" w:pos="900" w:leader="none"/>
          <w:tab w:val="left" w:pos="2880" w:leader="none"/>
        </w:tabs>
        <w:jc w:val="both"/>
        <w:rPr/>
      </w:pPr>
      <w:r>
        <w:rPr/>
        <w:tab/>
      </w:r>
    </w:p>
    <w:p>
      <w:pPr>
        <w:pStyle w:val="Normal"/>
        <w:tabs>
          <w:tab w:val="clear" w:pos="720"/>
          <w:tab w:val="left" w:pos="900" w:leader="none"/>
          <w:tab w:val="left" w:pos="2880" w:leader="none"/>
        </w:tabs>
        <w:jc w:val="both"/>
        <w:rPr/>
      </w:pPr>
      <w:r>
        <w:rPr/>
        <w:tab/>
        <w:tab/>
        <w:t>Attn: Assistant General Counsel</w:t>
      </w:r>
    </w:p>
    <w:p>
      <w:pPr>
        <w:pStyle w:val="Normal"/>
        <w:tabs>
          <w:tab w:val="clear" w:pos="720"/>
          <w:tab w:val="left" w:pos="900" w:leader="none"/>
          <w:tab w:val="left" w:pos="2880" w:leader="none"/>
        </w:tabs>
        <w:jc w:val="both"/>
        <w:rPr/>
      </w:pPr>
      <w:r>
        <w:rPr/>
        <w:tab/>
        <w:tab/>
        <w:t>Fax: (713) 646-4818</w:t>
      </w:r>
    </w:p>
    <w:p>
      <w:pPr>
        <w:pStyle w:val="Normal"/>
        <w:tabs>
          <w:tab w:val="clear" w:pos="720"/>
          <w:tab w:val="left" w:pos="900" w:leader="none"/>
          <w:tab w:val="left" w:pos="2880" w:leader="none"/>
        </w:tabs>
        <w:jc w:val="both"/>
        <w:rPr/>
      </w:pPr>
      <w:r>
        <w:rPr/>
      </w:r>
    </w:p>
    <w:p>
      <w:pPr>
        <w:pStyle w:val="Normal"/>
        <w:tabs>
          <w:tab w:val="clear" w:pos="720"/>
          <w:tab w:val="left" w:pos="900" w:leader="none"/>
          <w:tab w:val="left" w:pos="2880" w:leader="none"/>
        </w:tabs>
        <w:ind w:hanging="720" w:start="720" w:end="0"/>
        <w:jc w:val="both"/>
        <w:rPr/>
      </w:pPr>
      <w:r>
        <w:rPr/>
        <w:tab/>
        <w:t>Notice given by personal delivery, certified mail/return receipt or overnight delivery courier shall be effective upon actual receipt.  Notice given by facsimile shall be effective upon actual transmission receipt at the facsimile machine dedicated to the facsimile number provided by any party herein.  All notices by facsimile shall be confirmed promptly after transmission in writing by personal delivery, certified mail/return receipt or overnight delivery courier.  Any party may change any address to which notice is to be given by giving notice as provided above to all other parties.</w:t>
      </w:r>
    </w:p>
    <w:p>
      <w:pPr>
        <w:pStyle w:val="Normal"/>
        <w:tabs>
          <w:tab w:val="clear" w:pos="720"/>
          <w:tab w:val="left" w:pos="900" w:leader="none"/>
          <w:tab w:val="left" w:pos="2880" w:leader="none"/>
        </w:tabs>
        <w:jc w:val="both"/>
        <w:rPr/>
      </w:pPr>
      <w:r>
        <w:rPr/>
      </w:r>
    </w:p>
    <w:p>
      <w:pPr>
        <w:pStyle w:val="Normal"/>
        <w:ind w:hanging="720" w:start="720" w:end="0"/>
        <w:jc w:val="both"/>
        <w:rPr/>
      </w:pPr>
      <w:r>
        <w:rPr/>
        <w:t xml:space="preserve">     </w:t>
      </w:r>
      <w:r>
        <w:rPr/>
        <w:t>10.  This Guaranty shall in all respects be interpreted, enforced, performed, and governed in accordance with the laws of the State of Colorado, without regard to its principles of conflicts of law.</w:t>
      </w:r>
    </w:p>
    <w:p>
      <w:pPr>
        <w:pStyle w:val="Normal"/>
        <w:tabs>
          <w:tab w:val="clear" w:pos="720"/>
          <w:tab w:val="left" w:pos="2880" w:leader="none"/>
          <w:tab w:val="left" w:pos="3150" w:leader="none"/>
        </w:tabs>
        <w:ind w:hanging="360" w:start="720" w:end="0"/>
        <w:jc w:val="both"/>
        <w:rPr/>
      </w:pPr>
      <w:r>
        <w:rPr/>
      </w:r>
    </w:p>
    <w:p>
      <w:pPr>
        <w:pStyle w:val="Normal"/>
        <w:ind w:hanging="720" w:start="720" w:end="0"/>
        <w:jc w:val="both"/>
        <w:rPr/>
      </w:pPr>
      <w:r>
        <w:rPr/>
        <w:t xml:space="preserve">     </w:t>
      </w:r>
      <w:r>
        <w:rPr/>
        <w:t>11.</w:t>
        <w:tab/>
        <w:t>This Guaranty embodies the entire agreement and understanding between Guarantor and ENA and supercedes all prior agreements and understanding relating to the subject matter addressed in this Guaranty.</w:t>
      </w:r>
    </w:p>
    <w:p>
      <w:pPr>
        <w:pStyle w:val="Normal"/>
        <w:tabs>
          <w:tab w:val="clear" w:pos="720"/>
          <w:tab w:val="left" w:pos="2880" w:leader="none"/>
          <w:tab w:val="left" w:pos="3150" w:leader="none"/>
        </w:tabs>
        <w:ind w:hanging="360" w:start="720" w:end="0"/>
        <w:jc w:val="both"/>
        <w:rPr/>
      </w:pPr>
      <w:r>
        <w:rPr/>
      </w:r>
    </w:p>
    <w:p>
      <w:pPr>
        <w:pStyle w:val="Normal"/>
        <w:numPr>
          <w:ilvl w:val="0"/>
          <w:numId w:val="0"/>
        </w:numPr>
        <w:tabs>
          <w:tab w:val="clear" w:pos="720"/>
          <w:tab w:val="left" w:pos="900" w:leader="none"/>
          <w:tab w:val="left" w:pos="2880" w:leader="none"/>
        </w:tabs>
        <w:jc w:val="both"/>
        <w:outlineLvl w:val="0"/>
        <w:rPr/>
      </w:pPr>
      <w:r>
        <w:rPr/>
        <w:t>IN WITNESS WHEREOF, the Guarantor has executed this Guaranty on __________, 2000</w:t>
      </w:r>
    </w:p>
    <w:p>
      <w:pPr>
        <w:pStyle w:val="Normal"/>
        <w:tabs>
          <w:tab w:val="clear" w:pos="720"/>
          <w:tab w:val="left" w:pos="900" w:leader="none"/>
          <w:tab w:val="left" w:pos="2880" w:leader="none"/>
        </w:tabs>
        <w:jc w:val="both"/>
        <w:rPr/>
      </w:pPr>
      <w:r>
        <w:rPr/>
      </w:r>
    </w:p>
    <w:p>
      <w:pPr>
        <w:pStyle w:val="Normal"/>
        <w:tabs>
          <w:tab w:val="clear" w:pos="720"/>
          <w:tab w:val="left" w:pos="900" w:leader="none"/>
          <w:tab w:val="left" w:pos="2880" w:leader="none"/>
        </w:tabs>
        <w:jc w:val="both"/>
        <w:rPr/>
      </w:pPr>
      <w:r>
        <w:rPr/>
        <w:t>Name:</w:t>
      </w:r>
    </w:p>
    <w:p>
      <w:pPr>
        <w:pStyle w:val="Normal"/>
        <w:tabs>
          <w:tab w:val="clear" w:pos="720"/>
          <w:tab w:val="left" w:pos="900" w:leader="none"/>
          <w:tab w:val="left" w:pos="2880" w:leader="none"/>
        </w:tabs>
        <w:jc w:val="both"/>
        <w:rPr/>
      </w:pPr>
      <w:r>
        <w:rPr/>
      </w:r>
    </w:p>
    <w:p>
      <w:pPr>
        <w:pStyle w:val="Normal"/>
        <w:tabs>
          <w:tab w:val="clear" w:pos="720"/>
          <w:tab w:val="left" w:pos="900" w:leader="none"/>
          <w:tab w:val="left" w:pos="2880" w:leader="none"/>
        </w:tabs>
        <w:jc w:val="both"/>
        <w:rPr/>
      </w:pPr>
      <w:r>
        <w:rPr/>
      </w:r>
    </w:p>
    <w:p>
      <w:pPr>
        <w:pStyle w:val="Normal"/>
        <w:tabs>
          <w:tab w:val="clear" w:pos="720"/>
          <w:tab w:val="left" w:pos="900" w:leader="none"/>
          <w:tab w:val="right" w:pos="5040" w:leader="none"/>
        </w:tabs>
        <w:jc w:val="both"/>
        <w:rPr/>
      </w:pPr>
      <w:r>
        <w:rPr/>
        <w:t>By:</w:t>
        <w:tab/>
      </w:r>
      <w:r>
        <w:rPr>
          <w:u w:val="single"/>
        </w:rPr>
        <w:tab/>
      </w:r>
    </w:p>
    <w:p>
      <w:pPr>
        <w:pStyle w:val="Normal"/>
        <w:tabs>
          <w:tab w:val="clear" w:pos="720"/>
          <w:tab w:val="left" w:pos="900" w:leader="none"/>
          <w:tab w:val="left" w:pos="2880" w:leader="none"/>
        </w:tabs>
        <w:jc w:val="both"/>
        <w:rPr/>
      </w:pPr>
      <w:r>
        <w:rPr/>
        <w:tab/>
        <w:t>Robert Broderick</w:t>
      </w:r>
    </w:p>
    <w:p>
      <w:pPr>
        <w:pStyle w:val="Normal"/>
        <w:tabs>
          <w:tab w:val="clear" w:pos="720"/>
          <w:tab w:val="left" w:pos="900" w:leader="none"/>
          <w:tab w:val="left" w:pos="2880" w:leader="none"/>
        </w:tabs>
        <w:jc w:val="both"/>
        <w:rPr/>
      </w:pPr>
      <w:r>
        <w:rPr/>
      </w:r>
    </w:p>
    <w:p>
      <w:pPr>
        <w:pStyle w:val="Normal"/>
        <w:tabs>
          <w:tab w:val="clear" w:pos="720"/>
          <w:tab w:val="left" w:pos="900" w:leader="none"/>
          <w:tab w:val="right" w:pos="5040" w:leader="none"/>
        </w:tabs>
        <w:jc w:val="both"/>
        <w:rPr/>
      </w:pPr>
      <w:r>
        <w:rPr/>
        <w:t>Title:</w:t>
        <w:tab/>
      </w:r>
      <w:r>
        <w:rPr>
          <w:u w:val="single"/>
        </w:rPr>
        <w:t>General Manager</w:t>
        <w:tab/>
      </w:r>
    </w:p>
    <w:sectPr>
      <w:footerReference w:type="default" r:id="rId2"/>
      <w:type w:val="nextPage"/>
      <w:pgSz w:w="12240" w:h="15840"/>
      <w:pgMar w:left="1800" w:right="1440" w:gutter="0" w:header="0" w:top="187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2000-05-02T14:06:00Z</dcterms:created>
  <dc:creator>Valued Gateway Customer</dc:creator>
  <dc:description/>
  <dc:language>en-CA</dc:language>
  <cp:lastModifiedBy>MUE</cp:lastModifiedBy>
  <cp:lastPrinted>2000-05-02T10:26:00Z</cp:lastPrinted>
  <dcterms:modified xsi:type="dcterms:W3CDTF">2000-05-02T14:08:00Z</dcterms:modified>
  <cp:revision>3</cp:revision>
  <dc:subject/>
  <dc:title>GUARANTY</dc:title>
</cp:coreProperties>
</file>