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GUARANTEE AGREEMENT</w:t>
      </w:r>
    </w:p>
    <w:p>
      <w:pPr>
        <w:pStyle w:val="Normal"/>
        <w:jc w:val="both"/>
        <w:rPr/>
      </w:pPr>
      <w:r>
        <w:rPr/>
      </w:r>
    </w:p>
    <w:p>
      <w:pPr>
        <w:pStyle w:val="Normal"/>
        <w:jc w:val="both"/>
        <w:rPr/>
      </w:pPr>
      <w:r>
        <w:rPr/>
        <w:tab/>
        <w:t>This Guarantee Agreement (this “Guarantee”), dated as of ___________, is made and entered into by Mirant Corporation f/k/a Southern Energy, Inc. (“Guarantor”).</w:t>
      </w:r>
    </w:p>
    <w:p>
      <w:pPr>
        <w:pStyle w:val="Normal"/>
        <w:jc w:val="both"/>
        <w:rPr/>
      </w:pPr>
      <w:r>
        <w:rPr/>
      </w:r>
    </w:p>
    <w:p>
      <w:pPr>
        <w:pStyle w:val="BodyTextIndent"/>
        <w:jc w:val="both"/>
        <w:rPr/>
      </w:pPr>
      <w:r>
        <w:rPr/>
        <w:t>WHEREAS, Vastar Gas Marketing, Inc. (“VGM”) and Enron Risk Management Services Corp.(“ERMS”) entered into an ISDA Master Agreement (Local Currency-Single Jurisdiction) dated as of June 1, 1994 (the “Agreement”) pursuant to which VGM and ERMS entered into one or more swap, option or other financially-settled derivative transactions; and</w:t>
      </w:r>
    </w:p>
    <w:p>
      <w:pPr>
        <w:pStyle w:val="Normal"/>
        <w:ind w:firstLine="720" w:end="0"/>
        <w:jc w:val="both"/>
        <w:rPr/>
      </w:pPr>
      <w:r>
        <w:rPr/>
      </w:r>
    </w:p>
    <w:p>
      <w:pPr>
        <w:pStyle w:val="Normal"/>
        <w:jc w:val="both"/>
        <w:rPr/>
      </w:pPr>
      <w:r>
        <w:rPr/>
        <w:tab/>
        <w:t>WHEREAS, Vastar Resources, Inc.(“VR”) executed a Parent Guaranty on June 1, 1994 (the “Vastar Guaranty”) guaranteeing the obligations of VGM under the Agreement; and</w:t>
      </w:r>
    </w:p>
    <w:p>
      <w:pPr>
        <w:pStyle w:val="Normal"/>
        <w:ind w:firstLine="720" w:end="0"/>
        <w:jc w:val="both"/>
        <w:rPr/>
      </w:pPr>
      <w:r>
        <w:rPr/>
      </w:r>
    </w:p>
    <w:p>
      <w:pPr>
        <w:pStyle w:val="BodyTextIndent"/>
        <w:jc w:val="both"/>
        <w:rPr/>
      </w:pPr>
      <w:r>
        <w:rPr/>
        <w:t xml:space="preserve">WHEREAS, ERMS changed its name to Enron Capital &amp; Trade Resources Corp. (“ECT”) on December 31, 1994; and  </w:t>
      </w:r>
    </w:p>
    <w:p>
      <w:pPr>
        <w:pStyle w:val="Normal"/>
        <w:ind w:firstLine="720" w:end="0"/>
        <w:jc w:val="both"/>
        <w:rPr/>
      </w:pPr>
      <w:r>
        <w:rPr/>
      </w:r>
    </w:p>
    <w:p>
      <w:pPr>
        <w:pStyle w:val="BodyTextIndent"/>
        <w:jc w:val="both"/>
        <w:rPr/>
      </w:pPr>
      <w:r>
        <w:rPr/>
        <w:t xml:space="preserve">WHEREAS, VGM and Southern Company Energy Marketing (“SCEM”) executed an Assignment and Assumption Agreement dated September 1, 1997 assigning all of VGM’s rights, duties and obligations under the Agreement from VGM to SCEM; and </w:t>
      </w:r>
    </w:p>
    <w:p>
      <w:pPr>
        <w:pStyle w:val="Normal"/>
        <w:ind w:firstLine="720" w:end="0"/>
        <w:jc w:val="both"/>
        <w:rPr/>
      </w:pPr>
      <w:r>
        <w:rPr/>
      </w:r>
    </w:p>
    <w:p>
      <w:pPr>
        <w:pStyle w:val="BodyTextIndent"/>
        <w:jc w:val="both"/>
        <w:rPr/>
      </w:pPr>
      <w:r>
        <w:rPr/>
        <w:t>WHEREAS, the Vastar Guaranty was amended in January, 1998 to cap and limit VR’s aggregate liability under the Vastar Guaranty to $13,000,000; and</w:t>
      </w:r>
    </w:p>
    <w:p>
      <w:pPr>
        <w:pStyle w:val="Normal"/>
        <w:ind w:firstLine="720" w:end="0"/>
        <w:jc w:val="both"/>
        <w:rPr/>
      </w:pPr>
      <w:r>
        <w:rPr/>
      </w:r>
    </w:p>
    <w:p>
      <w:pPr>
        <w:pStyle w:val="BodyTextIndent"/>
        <w:jc w:val="both"/>
        <w:rPr/>
      </w:pPr>
      <w:r>
        <w:rPr/>
        <w:t>WHEREAS, ECT changed its name to Enron North America Corp. (“ENA”) on September 1, 1999; and</w:t>
      </w:r>
    </w:p>
    <w:p>
      <w:pPr>
        <w:pStyle w:val="Normal"/>
        <w:ind w:firstLine="720" w:end="0"/>
        <w:jc w:val="both"/>
        <w:rPr/>
      </w:pPr>
      <w:r>
        <w:rPr/>
      </w:r>
    </w:p>
    <w:p>
      <w:pPr>
        <w:pStyle w:val="Normal"/>
        <w:ind w:firstLine="720" w:end="0"/>
        <w:jc w:val="both"/>
        <w:rPr/>
      </w:pPr>
      <w:r>
        <w:rPr/>
        <w:t>WHEREAS,</w:t>
      </w:r>
      <w:r>
        <w:rPr>
          <w:b/>
          <w:bCs/>
        </w:rPr>
        <w:t xml:space="preserve"> </w:t>
      </w:r>
      <w:r>
        <w:rPr/>
        <w:t>the Guarantor (under the name of Southern Energy, Inc.), as the parent company of SCEM, purchased VR’s 40% interest in SCEM on September 11, 2000, making SCEM a wholly-owned subsidiary of the Guarantor; and</w:t>
      </w:r>
    </w:p>
    <w:p>
      <w:pPr>
        <w:pStyle w:val="Normal"/>
        <w:ind w:firstLine="720" w:end="0"/>
        <w:jc w:val="both"/>
        <w:rPr/>
      </w:pPr>
      <w:r>
        <w:rPr/>
      </w:r>
    </w:p>
    <w:p>
      <w:pPr>
        <w:pStyle w:val="Normal"/>
        <w:ind w:firstLine="720" w:end="0"/>
        <w:jc w:val="both"/>
        <w:rPr/>
      </w:pPr>
      <w:r>
        <w:rPr/>
        <w:t>WHEREAS,</w:t>
      </w:r>
      <w:r>
        <w:rPr>
          <w:b/>
          <w:bCs/>
        </w:rPr>
        <w:t xml:space="preserve"> </w:t>
      </w:r>
      <w:r>
        <w:rPr/>
        <w:t>the Guarantor changed its name to Mirant Corporation (“MC”) and SCEM changed its name to Mirant Americas Energy Marketing, LP (“MAEM”) on January 19, 2001; and</w:t>
      </w:r>
    </w:p>
    <w:p>
      <w:pPr>
        <w:pStyle w:val="Normal"/>
        <w:ind w:firstLine="720" w:end="0"/>
        <w:jc w:val="both"/>
        <w:rPr/>
      </w:pPr>
      <w:r>
        <w:rPr/>
      </w:r>
    </w:p>
    <w:p>
      <w:pPr>
        <w:pStyle w:val="Normal"/>
        <w:ind w:firstLine="720" w:end="0"/>
        <w:jc w:val="both"/>
        <w:rPr/>
      </w:pPr>
      <w:r>
        <w:rPr/>
        <w:t>WHEREAS,</w:t>
      </w:r>
      <w:r>
        <w:rPr>
          <w:b/>
          <w:bCs/>
        </w:rPr>
        <w:t xml:space="preserve"> </w:t>
      </w:r>
      <w:r>
        <w:rPr/>
        <w:t>VR has notified the Guarantor, MAEM and ENA that the Vastar Guaranty will terminate as of March 31, 2001; and</w:t>
      </w:r>
    </w:p>
    <w:p>
      <w:pPr>
        <w:pStyle w:val="Normal"/>
        <w:ind w:firstLine="720" w:end="0"/>
        <w:jc w:val="both"/>
        <w:rPr/>
      </w:pPr>
      <w:r>
        <w:rPr/>
      </w:r>
    </w:p>
    <w:p>
      <w:pPr>
        <w:pStyle w:val="Normal"/>
        <w:ind w:firstLine="720" w:end="0"/>
        <w:jc w:val="both"/>
        <w:rPr/>
      </w:pPr>
      <w:r>
        <w:rPr/>
        <w:t>WHEREAS,</w:t>
      </w:r>
      <w:r>
        <w:rPr>
          <w:b/>
          <w:bCs/>
        </w:rPr>
        <w:t xml:space="preserve"> </w:t>
      </w:r>
      <w:r>
        <w:rPr/>
        <w:t>MAEM and ENA desire to continue to enter into swap, option or other financially-settled derivative transactions under the terms and conditions of the Agreement.</w:t>
      </w:r>
    </w:p>
    <w:p>
      <w:pPr>
        <w:pStyle w:val="Normal"/>
        <w:ind w:firstLine="720" w:end="0"/>
        <w:jc w:val="both"/>
        <w:rPr/>
      </w:pPr>
      <w:r>
        <w:rPr/>
      </w:r>
    </w:p>
    <w:p>
      <w:pPr>
        <w:pStyle w:val="Normal"/>
        <w:ind w:firstLine="720" w:end="0"/>
        <w:jc w:val="both"/>
        <w:rPr/>
      </w:pPr>
      <w:r>
        <w:rPr/>
        <w:t>NOW THEREFORE, in consideration of ENA continuing to enter into swap, option or other financially-settled derivative transactions</w:t>
      </w:r>
      <w:r>
        <w:rPr>
          <w:b/>
          <w:bCs/>
        </w:rPr>
        <w:t xml:space="preserve"> </w:t>
      </w:r>
      <w:r>
        <w:rPr/>
        <w:t>with MAEM pursuant to the terms and conditions of the Agreement, Guarantor hereby covenants and agrees as follows:</w:t>
      </w:r>
    </w:p>
    <w:p>
      <w:pPr>
        <w:pStyle w:val="Normal"/>
        <w:ind w:firstLine="720" w:end="0"/>
        <w:jc w:val="both"/>
        <w:rPr/>
      </w:pPr>
      <w:r>
        <w:rPr/>
      </w:r>
    </w:p>
    <w:p>
      <w:pPr>
        <w:pStyle w:val="Normal"/>
        <w:ind w:firstLine="720" w:end="0"/>
        <w:jc w:val="both"/>
        <w:rPr/>
      </w:pPr>
      <w:r>
        <w:rPr/>
        <w:t>1.</w:t>
        <w:tab/>
        <w:t>GUARANTEE.  Subject to the provisions hereof, Guarantor hereby irrevocably and unconditionally guarantees the timely payment when due of the obligations of MAEM (the “Obligations”) to ENA in accordance with the Agreement. To the extent that MAEM shall fail to pay any Obligations, Guarantor shall promptly pay to ENA the amount due.  This Guarantee shall constitute a guarantee of payment and not of collection.  The liability of Guarantor under the Guarantee shall be subject to the following:</w:t>
      </w:r>
    </w:p>
    <w:p>
      <w:pPr>
        <w:pStyle w:val="Normal"/>
        <w:ind w:firstLine="720" w:end="0"/>
        <w:jc w:val="both"/>
        <w:rPr/>
      </w:pPr>
      <w:r>
        <w:rPr/>
      </w:r>
    </w:p>
    <w:p>
      <w:pPr>
        <w:pStyle w:val="BodyTextIndent2"/>
        <w:rPr/>
      </w:pPr>
      <w:r>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ind w:firstLine="720" w:end="0"/>
        <w:jc w:val="both"/>
        <w:rPr/>
      </w:pPr>
      <w:r>
        <w:rPr/>
      </w:r>
    </w:p>
    <w:p>
      <w:pPr>
        <w:pStyle w:val="Normal"/>
        <w:numPr>
          <w:ilvl w:val="0"/>
          <w:numId w:val="3"/>
        </w:numPr>
        <w:tabs>
          <w:tab w:val="clear" w:pos="720"/>
          <w:tab w:val="left" w:pos="0" w:leader="none"/>
        </w:tabs>
        <w:ind w:firstLine="1440" w:start="0" w:end="0"/>
        <w:jc w:val="both"/>
        <w:rPr/>
      </w:pPr>
      <w:r>
        <w:rPr/>
        <w:t>The aggregate amount covered by this Guarantee shall not exceed U.S.$_______________.</w:t>
        <w:br/>
        <w:br/>
        <w:tab/>
        <w:t>2.</w:t>
        <w:tab/>
        <w:t xml:space="preserve">DEMANDS AND NOTICE.  If MAEM fails or refuses to pay any Obligations, and ENA has elected to exercise its rights under this Guarantee, ENA shall make a demand upon Guarantor (hereinafter referred to as a “Payment Demand”).  A Payment Demand shall be in writing and shall reasonably and briefly specify in what manner and what amount MAEM has failed to pay and an explanation of why such payment is due, with a specific statement that ENA is calling upon Guarantor to pay under this Guarantee.  A Payment Demand satisfying the foregoing requirements shall be deemed sufficient notice to Guarantor that it must pay the Obligations within five (5) Business Days after its receipt of the Payment Demand.  A single written Payment Demand shall be effective as to any specific default during the continuance of such default, until MAEM or Guarantor has cured such default, and additional written demands concerning such default shall not be required until such default is cured. </w:t>
      </w:r>
    </w:p>
    <w:p>
      <w:pPr>
        <w:pStyle w:val="Normal"/>
        <w:ind w:firstLine="720" w:end="0"/>
        <w:jc w:val="both"/>
        <w:rPr/>
      </w:pPr>
      <w:r>
        <w:rPr/>
      </w:r>
    </w:p>
    <w:p>
      <w:pPr>
        <w:pStyle w:val="Normal"/>
        <w:tabs>
          <w:tab w:val="clear" w:pos="720"/>
          <w:tab w:val="left" w:pos="1440" w:leader="none"/>
        </w:tabs>
        <w:ind w:firstLine="720" w:end="0"/>
        <w:jc w:val="both"/>
        <w:rPr/>
      </w:pPr>
      <w:r>
        <w:rPr/>
        <w:t xml:space="preserve">3. </w:t>
        <w:tab/>
        <w:t>REPRESENTATIONS AND WARRANTIES.  Guarantor represents and warrants that:</w:t>
      </w:r>
    </w:p>
    <w:p>
      <w:pPr>
        <w:pStyle w:val="Normal"/>
        <w:tabs>
          <w:tab w:val="clear" w:pos="720"/>
          <w:tab w:val="left" w:pos="1440" w:leader="none"/>
        </w:tabs>
        <w:ind w:firstLine="720" w:end="0"/>
        <w:jc w:val="both"/>
        <w:rPr/>
      </w:pPr>
      <w:r>
        <w:rPr/>
        <w:br/>
        <w:tab/>
        <w:t>(a)</w:t>
        <w:tab/>
        <w:t>it is a corporation duly organized and validly existing under the laws of the State of Delaware and has the corporate power and authority to execute, deliver and carry out the terms and provisions of this Guarantee;</w:t>
      </w:r>
    </w:p>
    <w:p>
      <w:pPr>
        <w:pStyle w:val="Normal"/>
        <w:tabs>
          <w:tab w:val="clear" w:pos="720"/>
          <w:tab w:val="left" w:pos="1440" w:leader="none"/>
        </w:tabs>
        <w:jc w:val="both"/>
        <w:rPr/>
      </w:pPr>
      <w:r>
        <w:rPr/>
        <w:br/>
        <w:tab/>
        <w:t>(b) no authorization, approval, consent or order of, or registration or filing with, any court or other governmental body having jurisdiction over Guarantor is required on the part of Guarantor for the execution and delivery of this Guarantee (other than those which have been obtained); and</w:t>
      </w:r>
    </w:p>
    <w:p>
      <w:pPr>
        <w:pStyle w:val="Normal"/>
        <w:tabs>
          <w:tab w:val="clear" w:pos="720"/>
          <w:tab w:val="left" w:pos="1440" w:leader="none"/>
        </w:tabs>
        <w:jc w:val="both"/>
        <w:rPr/>
      </w:pPr>
      <w:r>
        <w:rPr/>
      </w:r>
    </w:p>
    <w:p>
      <w:pPr>
        <w:pStyle w:val="Normal"/>
        <w:numPr>
          <w:ilvl w:val="0"/>
          <w:numId w:val="2"/>
        </w:numPr>
        <w:tabs>
          <w:tab w:val="clear" w:pos="720"/>
          <w:tab w:val="left" w:pos="1440" w:leader="none"/>
        </w:tabs>
        <w:ind w:firstLine="1440" w:start="0" w:end="0"/>
        <w:jc w:val="both"/>
        <w:rPr/>
      </w:pPr>
      <w:r>
        <w:rPr/>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SETOFFS AND CONTERCLAIMS.  Without limiting Guarantor’s own defenses and rights hereunder, Guarantor reserves to itself all rights, set-offs, counterclaims and other defenses to which MAEM or any other affiliate of Guarantor is or may be entitled to arising from or out of the Agreement or otherwise, except for defenses arising out of the bankruptcy, insolvency, dissolution or liquidation of MAEM.</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AMENDMENT OF GUARANTEE.  No term or provision of this Guarantee shall be amended, modified, altered, waived, or supplemented except in a writing signed by the parties hereto.</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WAIVERS.  Guarantor hereby waives (a) notice of acceptance of this Guarantee; (b) presentment and demand concerning the liabilities of Guarantor, except as expressly hereinabove set forth, and (c) any right to require than any action or proceeding be brought against MAEM or any other person, or except as expressly hereinabove set forth, to require that ENA seek enforcement of any performance against MAEM or any other person, prior to any action against Guarantor under the terms hereof.</w:t>
        <w:br/>
        <w:br/>
        <w:tab/>
        <w:t>Except as to applicable statues of limitation, no delay of ENA in the exercise of, or failure to exercise, any rights hereunder shall operate as a waiver of such rights, a waiver of any other rights or a release of Guarantor from any obligations hereunder.</w:t>
        <w:br/>
        <w:br/>
        <w:tab/>
        <w:t>Guarantor consents to the renewal, compromise, extension, acceleration or other changes in the time of payment of or other changes in the terms of the Obligations, or any part thereof or any changes or modifications to the terms of the Agreement.</w:t>
        <w:br/>
        <w:br/>
        <w:tab/>
        <w:t>Guarantor may terminate this Guarantee by providing written notice of such termination to ENA and upon the effectiveness of such termination, Guarantor shall have no further liability hereunder, except as provided in the last sentence of this paragraph.  No such termination shall be effective until five (5) Business Days after receipt by ENA of such termination notice.  No such termination shall affect Guarantor’s liability with respect to any Transaction (as defined in the Agreement) entered into prior to the time the termination is effective, and the Obligations of the MAEM with respect to any such Transaction shall remain guaranteed pursuant to the terms of this Guarantee.</w:t>
      </w:r>
    </w:p>
    <w:p>
      <w:pPr>
        <w:pStyle w:val="Normal"/>
        <w:tabs>
          <w:tab w:val="clear" w:pos="720"/>
          <w:tab w:val="left" w:pos="1440" w:leader="none"/>
        </w:tabs>
        <w:jc w:val="both"/>
        <w:rPr/>
      </w:pPr>
      <w:r>
        <w:rPr/>
      </w:r>
    </w:p>
    <w:p>
      <w:pPr>
        <w:pStyle w:val="Normal"/>
        <w:numPr>
          <w:ilvl w:val="1"/>
          <w:numId w:val="2"/>
        </w:numPr>
        <w:tabs>
          <w:tab w:val="left" w:pos="0" w:leader="none"/>
          <w:tab w:val="left" w:pos="720" w:leader="none"/>
        </w:tabs>
        <w:ind w:firstLine="720" w:start="0" w:end="0"/>
        <w:jc w:val="both"/>
        <w:rPr/>
      </w:pPr>
      <w:r>
        <w:rPr/>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left" w:pos="720" w:leader="none"/>
        </w:tabs>
        <w:jc w:val="both"/>
        <w:rPr/>
      </w:pPr>
      <w:r>
        <w:rPr/>
      </w:r>
    </w:p>
    <w:p>
      <w:pPr>
        <w:pStyle w:val="Normal"/>
        <w:tabs>
          <w:tab w:val="left" w:pos="720" w:leader="none"/>
          <w:tab w:val="left" w:pos="3780" w:leader="none"/>
        </w:tabs>
        <w:ind w:start="720" w:end="0"/>
        <w:jc w:val="both"/>
        <w:rPr/>
      </w:pPr>
      <w:r>
        <w:rPr/>
        <w:t>To ENA:</w:t>
        <w:tab/>
        <w:t>Enron North America Corp.</w:t>
      </w:r>
    </w:p>
    <w:p>
      <w:pPr>
        <w:pStyle w:val="Normal"/>
        <w:tabs>
          <w:tab w:val="left" w:pos="720" w:leader="none"/>
          <w:tab w:val="left" w:pos="3780" w:leader="none"/>
        </w:tabs>
        <w:jc w:val="both"/>
        <w:rPr/>
      </w:pPr>
      <w:r>
        <w:rPr/>
        <w:tab/>
        <w:tab/>
        <w:t>1400 Smith Street</w:t>
      </w:r>
    </w:p>
    <w:p>
      <w:pPr>
        <w:pStyle w:val="Normal"/>
        <w:tabs>
          <w:tab w:val="left" w:pos="720" w:leader="none"/>
          <w:tab w:val="left" w:pos="3780" w:leader="none"/>
        </w:tabs>
        <w:jc w:val="both"/>
        <w:rPr/>
      </w:pPr>
      <w:r>
        <w:rPr/>
        <w:tab/>
        <w:tab/>
        <w:t>Houston, Texas 77002</w:t>
      </w:r>
    </w:p>
    <w:p>
      <w:pPr>
        <w:pStyle w:val="Normal"/>
        <w:tabs>
          <w:tab w:val="left" w:pos="720" w:leader="none"/>
          <w:tab w:val="left" w:pos="3780" w:leader="none"/>
        </w:tabs>
        <w:jc w:val="both"/>
        <w:rPr/>
      </w:pPr>
      <w:r>
        <w:rPr/>
        <w:tab/>
        <w:tab/>
        <w:t>Attn:  Director, Documentation Department</w:t>
      </w:r>
    </w:p>
    <w:p>
      <w:pPr>
        <w:pStyle w:val="Normal"/>
        <w:tabs>
          <w:tab w:val="left" w:pos="720" w:leader="none"/>
          <w:tab w:val="left" w:pos="3780" w:leader="none"/>
        </w:tabs>
        <w:jc w:val="both"/>
        <w:rPr/>
      </w:pPr>
      <w:r>
        <w:rPr/>
        <w:tab/>
        <w:tab/>
        <w:t>Fax No.: (713) 646-4818</w:t>
      </w:r>
    </w:p>
    <w:p>
      <w:pPr>
        <w:pStyle w:val="Normal"/>
        <w:tabs>
          <w:tab w:val="left" w:pos="720" w:leader="none"/>
          <w:tab w:val="left" w:pos="3780" w:leader="none"/>
        </w:tabs>
        <w:jc w:val="both"/>
        <w:rPr/>
      </w:pPr>
      <w:r>
        <w:rPr/>
      </w:r>
    </w:p>
    <w:p>
      <w:pPr>
        <w:pStyle w:val="Normal"/>
        <w:tabs>
          <w:tab w:val="left" w:pos="720" w:leader="none"/>
          <w:tab w:val="left" w:pos="3780" w:leader="none"/>
        </w:tabs>
        <w:jc w:val="both"/>
        <w:rPr/>
      </w:pPr>
      <w:r>
        <w:rPr/>
        <w:t>A copy of any notice sent to ENA pursuant hereto must also be sent to the above address to: (i) Enron Corp., Attention: Corporate Secretary, Fax No. (713) 853-2534, and (ii) Enron North America Corp., Attention:  Assistant General Counsel, Trading Group, Fax No. (713) 646-4818.</w:t>
      </w:r>
    </w:p>
    <w:p>
      <w:pPr>
        <w:pStyle w:val="Normal"/>
        <w:tabs>
          <w:tab w:val="left" w:pos="720" w:leader="none"/>
          <w:tab w:val="left" w:pos="3780" w:leader="none"/>
        </w:tabs>
        <w:jc w:val="both"/>
        <w:rPr/>
      </w:pPr>
      <w:r>
        <w:rPr/>
      </w:r>
    </w:p>
    <w:p>
      <w:pPr>
        <w:pStyle w:val="Normal"/>
        <w:tabs>
          <w:tab w:val="left" w:pos="720" w:leader="none"/>
          <w:tab w:val="left" w:pos="3780" w:leader="none"/>
        </w:tabs>
        <w:rPr/>
      </w:pPr>
      <w:r>
        <w:rPr/>
        <w:tab/>
        <w:t>To Guarantor:</w:t>
        <w:tab/>
        <w:t>Mirant Corporation f/k/a Southern Energy, Inc.</w:t>
      </w:r>
    </w:p>
    <w:p>
      <w:pPr>
        <w:pStyle w:val="Normal"/>
        <w:tabs>
          <w:tab w:val="left" w:pos="720" w:leader="none"/>
          <w:tab w:val="left" w:pos="3780" w:leader="none"/>
        </w:tabs>
        <w:rPr/>
      </w:pPr>
      <w:r>
        <w:rPr/>
        <w:tab/>
        <w:tab/>
        <w:t>1155 Perimeter Center West, Suite 130</w:t>
      </w:r>
    </w:p>
    <w:p>
      <w:pPr>
        <w:pStyle w:val="Normal"/>
        <w:tabs>
          <w:tab w:val="left" w:pos="720" w:leader="none"/>
          <w:tab w:val="left" w:pos="3780" w:leader="none"/>
        </w:tabs>
        <w:rPr/>
      </w:pPr>
      <w:r>
        <w:rPr/>
        <w:tab/>
        <w:tab/>
        <w:t>Atlanta, GA  30338</w:t>
      </w:r>
    </w:p>
    <w:p>
      <w:pPr>
        <w:pStyle w:val="Normal"/>
        <w:tabs>
          <w:tab w:val="left" w:pos="720" w:leader="none"/>
          <w:tab w:val="left" w:pos="3780" w:leader="none"/>
        </w:tabs>
        <w:rPr/>
      </w:pPr>
      <w:r>
        <w:rPr/>
        <w:tab/>
        <w:tab/>
        <w:t>Attn:  James Ward</w:t>
      </w:r>
    </w:p>
    <w:p>
      <w:pPr>
        <w:pStyle w:val="Normal"/>
        <w:tabs>
          <w:tab w:val="left" w:pos="720" w:leader="none"/>
          <w:tab w:val="left" w:pos="3780" w:leader="none"/>
        </w:tabs>
        <w:rPr/>
      </w:pPr>
      <w:r>
        <w:rPr/>
        <w:tab/>
        <w:tab/>
        <w:t>Fax No. (678) 579-7141</w:t>
      </w:r>
    </w:p>
    <w:p>
      <w:pPr>
        <w:pStyle w:val="Normal"/>
        <w:tabs>
          <w:tab w:val="left" w:pos="720" w:leader="none"/>
          <w:tab w:val="left" w:pos="3780" w:leader="none"/>
        </w:tabs>
        <w:rPr/>
      </w:pPr>
      <w:r>
        <w:rPr/>
      </w:r>
    </w:p>
    <w:p>
      <w:pPr>
        <w:pStyle w:val="Normal"/>
        <w:tabs>
          <w:tab w:val="left" w:pos="720" w:leader="none"/>
          <w:tab w:val="left" w:pos="3780" w:leader="none"/>
        </w:tabs>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720" w:leader="none"/>
        </w:tabs>
        <w:ind w:firstLine="720" w:end="0"/>
        <w:jc w:val="both"/>
        <w:rPr/>
      </w:pPr>
      <w:r>
        <w:rPr/>
        <w:br/>
        <w:tab/>
        <w:t>8.</w:t>
        <w:tab/>
        <w:t xml:space="preserve">SUPERSESSION.  This Guarantee embodies the entire agreement and understanding between Guarantor and ENA and supersedes any and all other agreements or understandings relating to the subject matter hereof.  Additionally, this Guarantee supersedes the Vastar Guaranty.  By signing below, ENA agrees to and accepts the immediate termination, without further notice or process, of the Vastar Guaranty, which guarantee shall be of no further force and effect, </w:t>
      </w:r>
      <w:r>
        <w:rPr>
          <w:u w:val="single"/>
        </w:rPr>
        <w:t>provided, however,</w:t>
      </w:r>
      <w:r>
        <w:rPr/>
        <w:t xml:space="preserve"> that the Vastar Guaranty shall contiune of guarantee any and all Transactions executed by MAEM and ENA prior to the date of this Agreement pursuant to the terms and conditions of said Vastar Guaranty. </w:t>
      </w:r>
    </w:p>
    <w:p>
      <w:pPr>
        <w:pStyle w:val="Normal"/>
        <w:tabs>
          <w:tab w:val="left" w:pos="720" w:leader="none"/>
        </w:tabs>
        <w:ind w:firstLine="720" w:end="0"/>
        <w:jc w:val="both"/>
        <w:rPr/>
      </w:pPr>
      <w:r>
        <w:rPr/>
      </w:r>
    </w:p>
    <w:p>
      <w:pPr>
        <w:pStyle w:val="Normal"/>
        <w:numPr>
          <w:ilvl w:val="0"/>
          <w:numId w:val="4"/>
        </w:numPr>
        <w:tabs>
          <w:tab w:val="left" w:pos="720" w:leader="none"/>
        </w:tabs>
        <w:ind w:firstLine="720" w:start="0" w:end="0"/>
        <w:jc w:val="both"/>
        <w:rPr/>
      </w:pPr>
      <w:r>
        <w:rPr/>
        <w:t>MISCELLANEOUS.  THE GUARANTEE SHALL IN ALL RESPECTS BE GOVERNED BY, AND CONSTRUED IN ACCORDANCE WITH, THE LAWS OF THE STATE OF NEW YORK,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  To the extent Guarantor has executed more than one original copy of this Guarantee, ENA may seek payment from Guarantor only under one of such original copies.</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EXECUTED as of the day and year first above written.</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MIRANT CORPORATION f/k/a SOUTHERN ENERGY, INC.</w:t>
      </w:r>
    </w:p>
    <w:p>
      <w:pPr>
        <w:pStyle w:val="Normal"/>
        <w:tabs>
          <w:tab w:val="left" w:pos="720" w:leader="none"/>
        </w:tabs>
        <w:rPr/>
      </w:pPr>
      <w:r>
        <w:rPr/>
      </w:r>
    </w:p>
    <w:p>
      <w:pPr>
        <w:pStyle w:val="Normal"/>
        <w:tabs>
          <w:tab w:val="left" w:pos="720" w:leader="none"/>
        </w:tabs>
        <w:rPr/>
      </w:pPr>
      <w:r>
        <w:rPr/>
        <w:t>By:_______________________________________</w:t>
      </w:r>
    </w:p>
    <w:p>
      <w:pPr>
        <w:pStyle w:val="Normal"/>
        <w:tabs>
          <w:tab w:val="left" w:pos="720" w:leader="none"/>
        </w:tabs>
        <w:rPr/>
      </w:pPr>
      <w:r>
        <w:rPr/>
        <w:t>Name:_____________________________________</w:t>
      </w:r>
    </w:p>
    <w:p>
      <w:pPr>
        <w:pStyle w:val="Normal"/>
        <w:tabs>
          <w:tab w:val="left" w:pos="720" w:leader="none"/>
        </w:tabs>
        <w:rPr/>
      </w:pPr>
      <w:r>
        <w:rPr/>
        <w:t>Title:______________________________________</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ACKNOWLEDGED this ____ day of _________________, 20___</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ENRON NORTH AMERICA CORP.</w:t>
      </w:r>
    </w:p>
    <w:p>
      <w:pPr>
        <w:pStyle w:val="Normal"/>
        <w:tabs>
          <w:tab w:val="left" w:pos="720" w:leader="none"/>
        </w:tabs>
        <w:rPr/>
      </w:pPr>
      <w:r>
        <w:rPr/>
      </w:r>
    </w:p>
    <w:p>
      <w:pPr>
        <w:pStyle w:val="Normal"/>
        <w:tabs>
          <w:tab w:val="left" w:pos="720" w:leader="none"/>
        </w:tabs>
        <w:rPr/>
      </w:pPr>
      <w:r>
        <w:rPr/>
        <w:t>By:_______________________________________</w:t>
      </w:r>
    </w:p>
    <w:p>
      <w:pPr>
        <w:pStyle w:val="Normal"/>
        <w:tabs>
          <w:tab w:val="left" w:pos="720" w:leader="none"/>
        </w:tabs>
        <w:rPr/>
      </w:pPr>
      <w:r>
        <w:rPr/>
        <w:t>Name:_____________________________________</w:t>
      </w:r>
    </w:p>
    <w:p>
      <w:pPr>
        <w:pStyle w:val="Normal"/>
        <w:tabs>
          <w:tab w:val="left" w:pos="720" w:leader="none"/>
        </w:tabs>
        <w:rPr/>
      </w:pPr>
      <w:r>
        <w:rPr/>
        <w:t>Title:______________________________________</w:t>
      </w:r>
    </w:p>
    <w:p>
      <w:pPr>
        <w:pStyle w:val="Normal"/>
        <w:tabs>
          <w:tab w:val="left" w:pos="720" w:leader="none"/>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800"/>
        </w:tabs>
        <w:ind w:start="1800" w:hanging="360"/>
      </w:pPr>
      <w:rPr/>
    </w:lvl>
    <w:lvl w:ilvl="1">
      <w:start w:val="4"/>
      <w:numFmt w:val="decimal"/>
      <w:lvlText w:val="%2."/>
      <w:lvlJc w:val="start"/>
      <w:pPr>
        <w:tabs>
          <w:tab w:val="num" w:pos="3600"/>
        </w:tabs>
        <w:ind w:start="3600" w:hanging="144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2"/>
      <w:numFmt w:val="lowerLetter"/>
      <w:lvlText w:val="(%1)"/>
      <w:lvlJc w:val="start"/>
      <w:pPr>
        <w:tabs>
          <w:tab w:val="num" w:pos="2880"/>
        </w:tabs>
        <w:ind w:start="2880" w:hanging="1440"/>
      </w:pPr>
      <w:rPr/>
    </w:lvl>
  </w:abstractNum>
  <w:abstractNum w:abstractNumId="4">
    <w:lvl w:ilvl="0">
      <w:start w:val="9"/>
      <w:numFmt w:val="decimal"/>
      <w:lvlText w:val="%1."/>
      <w:lvlJc w:val="start"/>
      <w:pPr>
        <w:tabs>
          <w:tab w:val="num" w:pos="3600"/>
        </w:tabs>
        <w:ind w:start="360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1440" w:start="0" w:end="0"/>
      <w:jc w:val="both"/>
    </w:pPr>
    <w:rPr/>
  </w:style>
  <w:style w:type="paragraph" w:styleId="BodyTextIndent3">
    <w:name w:val="Body Text Indent 3"/>
    <w:basedOn w:val="Normal"/>
    <w:qFormat/>
    <w:pPr>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2001-03-08T13:17:00Z</dcterms:created>
  <dc:creator>fsayre</dc:creator>
  <dc:description/>
  <dc:language>en-CA</dc:language>
  <cp:lastModifiedBy>fsayre</cp:lastModifiedBy>
  <cp:lastPrinted>2001-03-08T09:03:00Z</cp:lastPrinted>
  <dcterms:modified xsi:type="dcterms:W3CDTF">2001-03-08T15:17:00Z</dcterms:modified>
  <cp:revision>4</cp:revision>
  <dc:subject/>
  <dc:title>GUARANTEE AGREEMENT</dc:title>
</cp:coreProperties>
</file>