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sz w:val="24"/>
        </w:rPr>
      </w:pPr>
      <w:r>
        <w:rPr>
          <w:b/>
          <w:sz w:val="24"/>
        </w:rPr>
        <w:t>LOUISVILLE GAS AND ELECTRIC COMPANY (“LG&amp;E”)</w:t>
      </w:r>
    </w:p>
    <w:p>
      <w:pPr>
        <w:pStyle w:val="Normal"/>
        <w:suppressAutoHyphens w:val="true"/>
        <w:jc w:val="both"/>
        <w:rPr>
          <w:spacing w:val="-3"/>
          <w:sz w:val="24"/>
        </w:rPr>
      </w:pPr>
      <w:r>
        <w:rPr>
          <w:spacing w:val="-3"/>
          <w:sz w:val="24"/>
        </w:rPr>
      </w:r>
    </w:p>
    <w:p>
      <w:pPr>
        <w:pStyle w:val="Normal"/>
        <w:suppressAutoHyphens w:val="true"/>
        <w:jc w:val="center"/>
        <w:rPr>
          <w:b/>
          <w:spacing w:val="-2"/>
          <w:u w:val="single"/>
        </w:rPr>
      </w:pPr>
      <w:r>
        <w:rPr>
          <w:b/>
          <w:spacing w:val="-2"/>
          <w:u w:val="single"/>
        </w:rPr>
        <w:t>GENERAL TERMS AND CONDITIONS FOR NATURAL GAS CALL OPTION</w:t>
      </w:r>
    </w:p>
    <w:p>
      <w:pPr>
        <w:pStyle w:val="Normal"/>
        <w:suppressAutoHyphens w:val="true"/>
        <w:jc w:val="center"/>
        <w:rPr>
          <w:b/>
          <w:spacing w:val="-2"/>
          <w:u w:val="single"/>
        </w:rPr>
      </w:pPr>
      <w:r>
        <w:rPr>
          <w:b/>
          <w:spacing w:val="-2"/>
          <w:u w:val="single"/>
        </w:rPr>
      </w:r>
    </w:p>
    <w:p>
      <w:pPr>
        <w:pStyle w:val="Normal"/>
        <w:suppressAutoHyphens w:val="true"/>
        <w:jc w:val="center"/>
        <w:rPr>
          <w:b/>
          <w:spacing w:val="-2"/>
          <w:u w:val="single"/>
        </w:rPr>
      </w:pPr>
      <w:r>
        <w:rPr>
          <w:b/>
          <w:spacing w:val="-2"/>
          <w:u w:val="single"/>
        </w:rPr>
      </w:r>
    </w:p>
    <w:p>
      <w:pPr>
        <w:pStyle w:val="Normal"/>
        <w:suppressAutoHyphens w:val="true"/>
        <w:jc w:val="both"/>
        <w:rPr>
          <w:b/>
          <w:spacing w:val="-2"/>
          <w:u w:val="single"/>
        </w:rPr>
      </w:pPr>
      <w:r>
        <w:rPr>
          <w:b/>
          <w:spacing w:val="-2"/>
          <w:u w:val="single"/>
        </w:rPr>
      </w:r>
    </w:p>
    <w:p>
      <w:pPr>
        <w:pStyle w:val="Normal"/>
        <w:suppressAutoHyphens w:val="true"/>
        <w:jc w:val="both"/>
        <w:rPr/>
      </w:pPr>
      <w:r>
        <w:rPr>
          <w:spacing w:val="-2"/>
        </w:rPr>
        <w:tab/>
      </w:r>
      <w:r>
        <w:rPr>
          <w:b/>
          <w:spacing w:val="-2"/>
          <w:u w:val="single"/>
        </w:rPr>
        <w:t>General Provisions:</w:t>
      </w:r>
      <w:r>
        <w:rPr>
          <w:spacing w:val="-2"/>
        </w:rPr>
        <w:t xml:space="preserve">  The definitions and provisions contained in the 1991 ISDA Definitions ("1991 Definitions") and the 1993 ISDA Commodity Derivatives Definitions ("Commodity Definitions") in each case published by the International Swap Dealers Association, Inc. ("ISDA") as each has been or may be amended, supplemented, updated, or restated, are incorporated into this Confirmation.  In the event of any conflict between the various sets of definitions named above, the Commodity Definitions shall apply.  In the event of any inconsistency between those definitions and provisions of this Confirmation, this Confirmation will govern.</w:t>
      </w:r>
    </w:p>
    <w:p>
      <w:pPr>
        <w:pStyle w:val="Normal"/>
        <w:suppressAutoHyphens w:val="true"/>
        <w:jc w:val="both"/>
        <w:rPr>
          <w:spacing w:val="-2"/>
        </w:rPr>
      </w:pPr>
      <w:r>
        <w:rPr>
          <w:spacing w:val="-2"/>
        </w:rPr>
      </w:r>
    </w:p>
    <w:p>
      <w:pPr>
        <w:pStyle w:val="Normal"/>
        <w:suppressAutoHyphens w:val="true"/>
        <w:jc w:val="both"/>
        <w:rPr/>
      </w:pPr>
      <w:r>
        <w:rPr>
          <w:spacing w:val="-2"/>
        </w:rPr>
        <w:tab/>
        <w:t>These General Terms and Conditions together with the Confirmation are a complete and binding agreement between the parties as to the terms and conditions of the transaction to which this Confirmation relates.  Upon execution by the parties of an ISDA Master Agreement (“Agreement”), this Confirmation will supplement, form part of, and be subject to, the Agreement.  Prior to execution of the Agreement by the parties, these General Terms and Conditions, any Confirmation and all other swap or option agreements between the parties shall be considered a single agreement to the same extent as if the Agreement had been executed.</w:t>
      </w:r>
      <w:r>
        <w:rPr>
          <w:b/>
          <w:spacing w:val="-2"/>
        </w:rPr>
        <w:tab/>
      </w:r>
    </w:p>
    <w:p>
      <w:pPr>
        <w:pStyle w:val="Normal"/>
        <w:suppressAutoHyphens w:val="true"/>
        <w:jc w:val="both"/>
        <w:rPr>
          <w:b/>
          <w:spacing w:val="-2"/>
        </w:rPr>
      </w:pPr>
      <w:r>
        <w:rPr>
          <w:b/>
          <w:spacing w:val="-2"/>
        </w:rPr>
      </w:r>
    </w:p>
    <w:p>
      <w:pPr>
        <w:pStyle w:val="Normal"/>
        <w:suppressAutoHyphens w:val="true"/>
        <w:ind w:firstLine="720" w:end="0"/>
        <w:jc w:val="both"/>
        <w:rPr/>
      </w:pPr>
      <w:r>
        <w:rPr>
          <w:b/>
          <w:spacing w:val="-2"/>
          <w:u w:val="single"/>
        </w:rPr>
        <w:t>Settlement</w:t>
      </w:r>
      <w:r>
        <w:rPr>
          <w:b/>
          <w:spacing w:val="-2"/>
        </w:rPr>
        <w:t>:</w:t>
      </w:r>
      <w:r>
        <w:rPr>
          <w:spacing w:val="-2"/>
        </w:rPr>
        <w:t xml:space="preserve">  On or before the first (1</w:t>
      </w:r>
      <w:r>
        <w:rPr>
          <w:spacing w:val="-2"/>
          <w:vertAlign w:val="superscript"/>
        </w:rPr>
        <w:t>st</w:t>
      </w:r>
      <w:r>
        <w:rPr>
          <w:spacing w:val="-2"/>
        </w:rPr>
        <w:t>) day of the month following the applicable Hedge Month (as defined in the relevant Confirmation), Counterparty shall determine the Settlement Price (as defined in the relevant Confirmation) for the applicable Hedge Month and shall, no later than one business day after such determination, notify LG&amp;E in writing of the Settlement Amount, as defined below, in U.S. Dollars that the Counterparty owes to LG&amp;E. The Settlement Amount shall be determined in the following manner: (i) if the Settlement Price is greater than the Strike Price, then Counterparty shall pay LG&amp;E an amount equal to the product of the Quantity for the applicable Hedge Month and the positive difference between the Settlement Price and Strike Price; or (ii) if the Strike Price is greater than or equal to the Settlement Price then no Settlement Amount is due to either party.</w:t>
      </w:r>
    </w:p>
    <w:p>
      <w:pPr>
        <w:pStyle w:val="Normal"/>
        <w:suppressAutoHyphens w:val="true"/>
        <w:jc w:val="both"/>
        <w:rPr>
          <w:spacing w:val="-2"/>
        </w:rPr>
      </w:pPr>
      <w:r>
        <w:rPr>
          <w:spacing w:val="-2"/>
        </w:rPr>
      </w:r>
    </w:p>
    <w:p>
      <w:pPr>
        <w:pStyle w:val="Normal"/>
        <w:suppressAutoHyphens w:val="true"/>
        <w:jc w:val="both"/>
        <w:rPr/>
      </w:pPr>
      <w:r>
        <w:rPr>
          <w:b/>
          <w:spacing w:val="-2"/>
        </w:rPr>
        <w:tab/>
      </w:r>
      <w:r>
        <w:rPr>
          <w:b/>
          <w:spacing w:val="-2"/>
          <w:u w:val="single"/>
        </w:rPr>
        <w:t>Payment</w:t>
      </w:r>
      <w:r>
        <w:rPr>
          <w:b/>
          <w:spacing w:val="-2"/>
        </w:rPr>
        <w:t>:</w:t>
      </w:r>
      <w:r>
        <w:rPr>
          <w:spacing w:val="-2"/>
        </w:rPr>
        <w:t xml:space="preserve">  Invoices for the agreed upon Option Price(s) and Quantities (as defined by the relevant Confirmation) shall be rendered by Counterparty to LG&amp;E on or before the tenth (10</w:t>
      </w:r>
      <w:r>
        <w:rPr>
          <w:spacing w:val="-2"/>
          <w:vertAlign w:val="superscript"/>
        </w:rPr>
        <w:t>th</w:t>
      </w:r>
      <w:r>
        <w:rPr>
          <w:spacing w:val="-2"/>
        </w:rPr>
        <w:t>) day of the month following the applicable Hedge Month.  Invoices for the Settlement Amount, if any, shall be rendered by LG&amp;E to Counterparty on or before the tenth (10</w:t>
      </w:r>
      <w:r>
        <w:rPr>
          <w:spacing w:val="-2"/>
          <w:vertAlign w:val="superscript"/>
        </w:rPr>
        <w:t>th</w:t>
      </w:r>
      <w:r>
        <w:rPr>
          <w:spacing w:val="-2"/>
        </w:rPr>
        <w:t>) day of the month following the applicable Hedge Month.  Payments shall be made by the owing party, in U.S. Dollars by either ACH or wire transfer of immediately available funds to the owed party's designated bank account on the later of the twenty-second (22</w:t>
      </w:r>
      <w:r>
        <w:rPr>
          <w:spacing w:val="-2"/>
          <w:vertAlign w:val="superscript"/>
        </w:rPr>
        <w:t>nd</w:t>
      </w:r>
      <w:r>
        <w:rPr>
          <w:spacing w:val="-2"/>
        </w:rPr>
        <w:t>) day of the month following the applicable Hedge Month or ten (10) days after presentation of an invoice (telex copy acceptable).  In the event payment due date falls on a Saturday or a Friday banking holiday, payment shall be due on the immediately preceding Banking Day.  In the event payment falls due on a Sunday or a Monday banking holiday, payment shall be due on the next succeeding Banking Day.</w:t>
      </w:r>
    </w:p>
    <w:p>
      <w:pPr>
        <w:sectPr>
          <w:footerReference w:type="default" r:id="rId2"/>
          <w:type w:val="nextPage"/>
          <w:pgSz w:w="12240" w:h="15840"/>
          <w:pgMar w:left="1440" w:right="1440" w:gutter="0" w:header="0" w:top="1152" w:footer="1080" w:bottom="1136"/>
          <w:pgNumType w:start="1" w:fmt="decimal"/>
          <w:formProt w:val="false"/>
          <w:textDirection w:val="lrTb"/>
          <w:docGrid w:type="default" w:linePitch="360" w:charSpace="0"/>
        </w:sectPr>
      </w:pPr>
    </w:p>
    <w:p>
      <w:pPr>
        <w:pStyle w:val="Normal"/>
        <w:suppressAutoHyphens w:val="true"/>
        <w:jc w:val="both"/>
        <w:rPr>
          <w:spacing w:val="-2"/>
        </w:rPr>
      </w:pPr>
      <w:r>
        <w:rPr>
          <w:spacing w:val="-2"/>
        </w:rPr>
      </w:r>
    </w:p>
    <w:p>
      <w:pPr>
        <w:pStyle w:val="Normal"/>
        <w:tabs>
          <w:tab w:val="clear" w:pos="720"/>
          <w:tab w:val="left" w:pos="-720" w:leader="none"/>
          <w:tab w:val="left" w:pos="0" w:leader="none"/>
        </w:tabs>
        <w:suppressAutoHyphens w:val="true"/>
        <w:ind w:hanging="720" w:start="720" w:end="0"/>
        <w:jc w:val="both"/>
        <w:rPr>
          <w:spacing w:val="-2"/>
        </w:rPr>
      </w:pPr>
      <w:r>
        <w:rPr>
          <w:spacing w:val="-2"/>
        </w:rPr>
        <w:tab/>
        <w:t xml:space="preserve">Payment for the account of LG&amp;E to:  </w:t>
        <w:tab/>
        <w:t>PNC Bank, Pittsburgh, PA</w:t>
      </w:r>
    </w:p>
    <w:p>
      <w:pPr>
        <w:pStyle w:val="Normal"/>
        <w:tabs>
          <w:tab w:val="clear" w:pos="720"/>
          <w:tab w:val="left" w:pos="-720" w:leader="none"/>
          <w:tab w:val="left" w:pos="0" w:leader="none"/>
        </w:tabs>
        <w:suppressAutoHyphens w:val="true"/>
        <w:ind w:hanging="720" w:start="720" w:end="0"/>
        <w:jc w:val="both"/>
        <w:rPr>
          <w:spacing w:val="-2"/>
        </w:rPr>
      </w:pPr>
      <w:r>
        <w:rPr>
          <w:spacing w:val="-2"/>
        </w:rPr>
        <w:tab/>
        <w:tab/>
        <w:tab/>
        <w:tab/>
        <w:tab/>
        <w:tab/>
        <w:t>ABA No.: 043-0000-96</w:t>
      </w:r>
    </w:p>
    <w:p>
      <w:pPr>
        <w:pStyle w:val="Normal"/>
        <w:tabs>
          <w:tab w:val="clear" w:pos="720"/>
          <w:tab w:val="left" w:pos="-720" w:leader="none"/>
          <w:tab w:val="left" w:pos="0" w:leader="none"/>
        </w:tabs>
        <w:suppressAutoHyphens w:val="true"/>
        <w:ind w:hanging="720" w:start="720" w:end="0"/>
        <w:jc w:val="both"/>
        <w:rPr>
          <w:spacing w:val="-2"/>
        </w:rPr>
      </w:pPr>
      <w:r>
        <w:rPr>
          <w:spacing w:val="-2"/>
        </w:rPr>
        <w:tab/>
        <w:tab/>
        <w:tab/>
        <w:tab/>
        <w:tab/>
        <w:tab/>
        <w:t>For the Account of: Louisville Gas and Electric Company</w:t>
      </w:r>
    </w:p>
    <w:p>
      <w:pPr>
        <w:pStyle w:val="Normal"/>
        <w:tabs>
          <w:tab w:val="clear" w:pos="720"/>
          <w:tab w:val="left" w:pos="-720" w:leader="none"/>
          <w:tab w:val="left" w:pos="0" w:leader="none"/>
        </w:tabs>
        <w:suppressAutoHyphens w:val="true"/>
        <w:ind w:hanging="720" w:start="720" w:end="0"/>
        <w:jc w:val="both"/>
        <w:rPr>
          <w:spacing w:val="-2"/>
        </w:rPr>
      </w:pPr>
      <w:r>
        <w:rPr>
          <w:spacing w:val="-2"/>
        </w:rPr>
        <w:tab/>
        <w:tab/>
        <w:tab/>
        <w:tab/>
        <w:tab/>
        <w:tab/>
        <w:t>Account No.: 1008270544</w:t>
      </w:r>
    </w:p>
    <w:p>
      <w:pPr>
        <w:pStyle w:val="Normal"/>
        <w:tabs>
          <w:tab w:val="clear" w:pos="720"/>
          <w:tab w:val="left" w:pos="-720" w:leader="none"/>
          <w:tab w:val="left" w:pos="0" w:leader="none"/>
        </w:tabs>
        <w:suppressAutoHyphens w:val="true"/>
        <w:ind w:hanging="720" w:start="720" w:end="0"/>
        <w:jc w:val="both"/>
        <w:rPr>
          <w:spacing w:val="-2"/>
        </w:rPr>
      </w:pPr>
      <w:r>
        <w:rPr>
          <w:spacing w:val="-2"/>
        </w:rPr>
      </w:r>
    </w:p>
    <w:p>
      <w:pPr>
        <w:pStyle w:val="Normal"/>
        <w:tabs>
          <w:tab w:val="clear" w:pos="720"/>
          <w:tab w:val="left" w:pos="-720" w:leader="none"/>
          <w:tab w:val="left" w:pos="0" w:leader="none"/>
        </w:tabs>
        <w:suppressAutoHyphens w:val="true"/>
        <w:ind w:hanging="720" w:start="720" w:end="0"/>
        <w:jc w:val="both"/>
        <w:rPr>
          <w:spacing w:val="-2"/>
        </w:rPr>
      </w:pPr>
      <w:r>
        <w:rPr>
          <w:spacing w:val="-2"/>
        </w:rPr>
        <w:tab/>
        <w:t>Payment for the account of Counterparty</w:t>
        <w:tab/>
      </w:r>
      <w:r>
        <w:rPr>
          <w:b/>
          <w:spacing w:val="-2"/>
        </w:rPr>
        <w:t>Please Advise</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spacing w:val="-2"/>
        </w:rPr>
        <w:tab/>
      </w:r>
      <w:r>
        <w:rPr>
          <w:b/>
          <w:spacing w:val="-2"/>
          <w:u w:val="single"/>
        </w:rPr>
        <w:t>Representations and Warranties</w:t>
      </w:r>
      <w:r>
        <w:rPr>
          <w:b/>
          <w:spacing w:val="-2"/>
        </w:rPr>
        <w:t>:</w:t>
      </w:r>
      <w:r>
        <w:rPr>
          <w:spacing w:val="-2"/>
        </w:rPr>
        <w:t xml:space="preserve">  Each party represents and warrants that: (a) on the date hereof, it possesses all power and authority necessary to enter into and perform the transaction(s) set forth in this Confirmation, (b) this Confirmation constitutes its valid and binding agreement, enforceable against it, (c) the execution, delivery and performance hereof will not cause such party to be in violation of any other agreement or law, regulation, order or court process or decision to which it is a party or by which it or its properties are bound or affected; and (d) it is entering into this Confirmation in conjunction with its line of business.</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b/>
          <w:spacing w:val="-2"/>
        </w:rPr>
        <w:tab/>
      </w:r>
      <w:r>
        <w:rPr>
          <w:b/>
          <w:spacing w:val="-2"/>
          <w:u w:val="single"/>
        </w:rPr>
        <w:t>Governing Law, Jurisdiction, and Service of Process</w:t>
      </w:r>
      <w:r>
        <w:rPr>
          <w:spacing w:val="-2"/>
        </w:rPr>
        <w:t>:  THE TRANSACTION SET FORTH IN THIS CONFIRMATION AND THESE GENERAL TERMS AND CONDITIONS SHALL BE GOVERNED BY AND CONSTRUED IN ACCORDANCE WITH THE LAWS OF THE STATE OF NEW YORK WITHOUT GIVING EFFECT TO PRINCIPLES OF CONFLICT OF LAWS.</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ab/>
      </w:r>
      <w:r>
        <w:rPr>
          <w:b/>
          <w:spacing w:val="-2"/>
          <w:u w:val="single"/>
        </w:rPr>
        <w:t>Credit Support and Margining</w:t>
      </w:r>
      <w:r>
        <w:rPr>
          <w:b/>
          <w:spacing w:val="-2"/>
        </w:rPr>
        <w:t>:</w:t>
      </w:r>
      <w:r>
        <w:rPr>
          <w:spacing w:val="-2"/>
        </w:rPr>
        <w:t xml:space="preserve">  Prior to the pricing period, Counterparty will provide LG&amp;E with either a parent company guarantee in a format acceptable to LG&amp;E or other collateral acceptable to LG&amp;E.  If the marked-to-market exposure of Counterparty exceeds the credit limits established by LG&amp;E, LG&amp;E may require Counterparty to post margin within one (1) Business Day following the request in the amount of the margin call in one of the following forms: (a) payment by either ACH or wire transfer; (b) posting an irrevocable letter of credit in a form and substance acceptable to LG&amp;E and issued by a bank acceptable to LG&amp;E; or (c) any additional form of collateral deemed acceptable by LG&amp;E.</w:t>
      </w:r>
    </w:p>
    <w:p>
      <w:pPr>
        <w:pStyle w:val="Normal"/>
        <w:tabs>
          <w:tab w:val="clear" w:pos="720"/>
          <w:tab w:val="left" w:pos="-720" w:leader="none"/>
        </w:tabs>
        <w:suppressAutoHyphens w:val="true"/>
        <w:jc w:val="both"/>
        <w:rPr>
          <w:b/>
          <w:spacing w:val="-2"/>
          <w:u w:val="single"/>
        </w:rPr>
      </w:pPr>
      <w:r>
        <w:rPr>
          <w:b/>
          <w:spacing w:val="-2"/>
          <w:u w:val="single"/>
        </w:rPr>
      </w:r>
    </w:p>
    <w:p>
      <w:pPr>
        <w:pStyle w:val="Normal"/>
        <w:tabs>
          <w:tab w:val="clear" w:pos="720"/>
          <w:tab w:val="left" w:pos="-720" w:leader="none"/>
        </w:tabs>
        <w:suppressAutoHyphens w:val="true"/>
        <w:jc w:val="both"/>
        <w:rPr/>
      </w:pPr>
      <w:r>
        <w:rPr>
          <w:b/>
          <w:spacing w:val="-2"/>
        </w:rPr>
        <w:tab/>
      </w:r>
      <w:r>
        <w:rPr>
          <w:b/>
          <w:spacing w:val="-2"/>
          <w:u w:val="single"/>
        </w:rPr>
        <w:t>Non-Performance</w:t>
      </w:r>
      <w:r>
        <w:rPr>
          <w:b/>
          <w:spacing w:val="-2"/>
        </w:rPr>
        <w:t>:</w:t>
      </w:r>
      <w:r>
        <w:rPr>
          <w:spacing w:val="-2"/>
        </w:rPr>
        <w:t xml:space="preserve">  Notwithstanding any other provision of this Confirmation or any other agreement between the parties: </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 w:val="left" w:pos="0" w:leader="none"/>
        </w:tabs>
        <w:suppressAutoHyphens w:val="true"/>
        <w:ind w:hanging="720" w:start="720" w:end="0"/>
        <w:jc w:val="both"/>
        <w:rPr/>
      </w:pPr>
      <w:r>
        <w:rPr>
          <w:spacing w:val="-2"/>
        </w:rPr>
        <w:tab/>
        <w:tab/>
        <w:t>(A)  in the event (each a "default") either party (the "Defaulting Party") shall (a) become bankrupt or insolvent, however evidenced, or be unable to pay its debts as they fall due, (b) file a petition or otherwise commence a proceeding under any bankruptcy, insolvency, reorganization or similar law or have any such petition filed or proceeding commenced against it, (c) have a liquidator, administrator, receiver or trustee appointed with respect to it or any substantial portion of its property or assets, (d) fail to pay or perform any obligation to the other party (the "Performing Party") when due, whether arising hereunder or under any Transaction or otherwise, (e) default with respect to any other agreement between the parties or (f) fail to provide adequate assurance of its ability to perform all of its outstanding obligations to the performing party, whether hereunder, under a Transaction or otherwise, within one (1) Business Day of a written demand therefor when the Performing Party has reasonable grounds for insecurity; then in any such event the Performing Party shall have the right immediately after two (2) Business Day's notice to the Defaulting Party (except in the case of a default under clause (b), in which event the Performing Party shall have such right immediately, without any prior notice to the Defaulting Party) and at any time or times thereafter, to terminate and liquidate any or all Transactions then outstanding by:</w:t>
      </w:r>
    </w:p>
    <w:p>
      <w:pPr>
        <w:pStyle w:val="Normal"/>
        <w:tabs>
          <w:tab w:val="clear" w:pos="720"/>
          <w:tab w:val="left" w:pos="-720" w:leader="none"/>
        </w:tabs>
        <w:suppressAutoHyphens w:val="true"/>
        <w:jc w:val="both"/>
        <w:rPr>
          <w:spacing w:val="-2"/>
        </w:rPr>
      </w:pPr>
      <w:r>
        <w:rPr>
          <w:spacing w:val="-2"/>
        </w:rPr>
      </w:r>
    </w:p>
    <w:p>
      <w:pPr>
        <w:pStyle w:val="Normal"/>
        <w:tabs>
          <w:tab w:val="left" w:pos="-720" w:leader="none"/>
          <w:tab w:val="left" w:pos="0" w:leader="none"/>
          <w:tab w:val="left" w:pos="720" w:leader="none"/>
        </w:tabs>
        <w:suppressAutoHyphens w:val="true"/>
        <w:ind w:hanging="1440" w:start="1440" w:end="720"/>
        <w:jc w:val="both"/>
        <w:rPr>
          <w:spacing w:val="-2"/>
        </w:rPr>
      </w:pPr>
      <w:r>
        <w:rPr>
          <w:spacing w:val="-2"/>
        </w:rPr>
        <w:tab/>
        <w:tab/>
        <w:t>(i)  closing out and terminating each Transaction being liquidated, so that such Transaction is canceled, and calculating a Settlement Payment (as defined below) for such Transaction payable to one (1) party from the other, as appropriate, and any Breakage Costs (as defined below) incurred by the Performing Party; and</w:t>
      </w:r>
    </w:p>
    <w:p>
      <w:pPr>
        <w:pStyle w:val="Normal"/>
        <w:tabs>
          <w:tab w:val="clear" w:pos="720"/>
          <w:tab w:val="left" w:pos="-720" w:leader="none"/>
        </w:tabs>
        <w:suppressAutoHyphens w:val="true"/>
        <w:jc w:val="both"/>
        <w:rPr>
          <w:spacing w:val="-2"/>
        </w:rPr>
      </w:pPr>
      <w:r>
        <w:rPr>
          <w:spacing w:val="-2"/>
        </w:rPr>
      </w:r>
    </w:p>
    <w:p>
      <w:pPr>
        <w:pStyle w:val="Normal"/>
        <w:tabs>
          <w:tab w:val="left" w:pos="-720" w:leader="none"/>
          <w:tab w:val="left" w:pos="0" w:leader="none"/>
          <w:tab w:val="left" w:pos="720" w:leader="none"/>
        </w:tabs>
        <w:suppressAutoHyphens w:val="true"/>
        <w:ind w:hanging="1440" w:start="1440" w:end="720"/>
        <w:jc w:val="both"/>
        <w:rPr>
          <w:spacing w:val="-2"/>
        </w:rPr>
      </w:pPr>
      <w:r>
        <w:rPr>
          <w:spacing w:val="-2"/>
        </w:rPr>
        <w:tab/>
        <w:tab/>
        <w:t>(ii)  setting off (a) all such Settlement Payments owing to the Defaulting Party plus (at the Performing Party's election) any or all other amounts due to the Defaulting Party hereunder or under any Transaction against (b) all such Settlement Payments owing to the Performing Party plus any and/or all Breakage Costs, plus (at the Performing Party's election) any or all other amounts due to the Performing Party hereunder or under any Transaction, so that all such amounts shall be netted to a single liquidated amount payable by one (1) party to the other.  Such net amount shall be paid by the close of business in U.S. Dollars on the next Business Day following the written demand thereof.</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 w:val="left" w:pos="0" w:leader="none"/>
        </w:tabs>
        <w:suppressAutoHyphens w:val="true"/>
        <w:ind w:hanging="720" w:start="720" w:end="0"/>
        <w:jc w:val="both"/>
        <w:rPr>
          <w:spacing w:val="-2"/>
        </w:rPr>
      </w:pPr>
      <w:r>
        <w:rPr>
          <w:spacing w:val="-2"/>
        </w:rPr>
        <w:tab/>
        <w:tab/>
        <w:t>(B)  The Performing Party's rights under this non-performance clause shall be in addition to, and not in limitation or exclusion of, any other rights which the Performing Party may have (whether by agreement, operation of law, in equity or otherwise).  After a default, the Performing Party may from time to time exercise its right hereunder to terminate and liquidate all Transactions.  After a default, the Performing Party is not required to make any payments under the payment clause above.</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 w:val="left" w:pos="0" w:leader="none"/>
        </w:tabs>
        <w:suppressAutoHyphens w:val="true"/>
        <w:ind w:hanging="720" w:start="720" w:end="0"/>
        <w:jc w:val="both"/>
        <w:rPr>
          <w:spacing w:val="-2"/>
        </w:rPr>
      </w:pPr>
      <w:r>
        <w:rPr>
          <w:spacing w:val="-2"/>
        </w:rPr>
        <w:tab/>
        <w:tab/>
        <w:t>(C)  If a default occurs, the Performing Party (at its election) may set off any or all amounts which the Defaulting Party owes to it (whether hereunder, under a Transaction or otherwise and whether or not then due) against any or all amounts which it owes to the Defaulting Party (whether hereunder, under a Transaction or otherwise and whether or not then due); provided that any amount not then due which is included in such setoff shall be discounted to present value as at the time of setoff (to take account of the period between the time of setoff and the date on which such amount would otherwise have been due) at the applicable rate for that period determined by the Performing Party in any commercially reasonable manner.</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 w:val="left" w:pos="0" w:leader="none"/>
        </w:tabs>
        <w:suppressAutoHyphens w:val="true"/>
        <w:ind w:hanging="720" w:start="720" w:end="0"/>
        <w:jc w:val="both"/>
        <w:rPr/>
      </w:pPr>
      <w:r>
        <w:rPr>
          <w:spacing w:val="-2"/>
        </w:rPr>
        <w:tab/>
        <w:tab/>
        <w:t xml:space="preserve">(D)  </w:t>
      </w:r>
      <w:r>
        <w:rPr>
          <w:b/>
          <w:spacing w:val="-2"/>
        </w:rPr>
        <w:t>"Settlement Payment"</w:t>
      </w:r>
      <w:r>
        <w:rPr>
          <w:spacing w:val="-2"/>
        </w:rPr>
        <w:t xml:space="preserve"> means, with respect to an outstanding Transaction, an amount representing the outstanding Transaction's net present value (in U.S. Dollars) to the party entitled to receive compensation for the early termination thereof, determined as of or about the time such Transaction is liquidated by the Performing Party in any commercially reasonable manner.</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 w:val="left" w:pos="0" w:leader="none"/>
        </w:tabs>
        <w:suppressAutoHyphens w:val="true"/>
        <w:ind w:hanging="720" w:start="720" w:end="0"/>
        <w:jc w:val="both"/>
        <w:rPr/>
      </w:pPr>
      <w:r>
        <w:rPr>
          <w:spacing w:val="-2"/>
        </w:rPr>
        <w:tab/>
        <w:tab/>
        <w:t xml:space="preserve">(E)  </w:t>
      </w:r>
      <w:r>
        <w:rPr>
          <w:b/>
          <w:spacing w:val="-2"/>
        </w:rPr>
        <w:t>"Breakage Costs"</w:t>
      </w:r>
      <w:r>
        <w:rPr>
          <w:spacing w:val="-2"/>
        </w:rPr>
        <w:t xml:space="preserve"> means all costs and losses which the Performing Party may incur as a result of its terminating and liquidating a Transaction under this non performance clause, including, without limitation, costs and losses incurred in maintaining, terminating and/or re-establishing any hedge or related trading positions, except for amounts covered by the settlement payment for such Swap Transaction.</w:t>
      </w:r>
    </w:p>
    <w:p>
      <w:pPr>
        <w:pStyle w:val="Normal"/>
        <w:tabs>
          <w:tab w:val="clear" w:pos="720"/>
          <w:tab w:val="left" w:pos="-720" w:leader="none"/>
          <w:tab w:val="left" w:pos="0" w:leader="none"/>
        </w:tabs>
        <w:suppressAutoHyphens w:val="true"/>
        <w:ind w:hanging="720" w:start="720" w:end="0"/>
        <w:jc w:val="both"/>
        <w:rPr>
          <w:spacing w:val="-2"/>
        </w:rPr>
      </w:pPr>
      <w:r>
        <w:rPr>
          <w:spacing w:val="-2"/>
        </w:rPr>
        <w:tab/>
        <w:tab/>
      </w:r>
    </w:p>
    <w:p>
      <w:pPr>
        <w:pStyle w:val="Normal"/>
        <w:tabs>
          <w:tab w:val="clear" w:pos="720"/>
          <w:tab w:val="left" w:pos="-720" w:leader="none"/>
          <w:tab w:val="left" w:pos="0" w:leader="none"/>
        </w:tabs>
        <w:suppressAutoHyphens w:val="true"/>
        <w:ind w:hanging="720" w:start="720" w:end="0"/>
        <w:jc w:val="both"/>
        <w:rPr>
          <w:spacing w:val="-2"/>
        </w:rPr>
      </w:pPr>
      <w:r>
        <w:rPr>
          <w:spacing w:val="-2"/>
        </w:rPr>
        <w:tab/>
        <w:tab/>
        <w:t>(F)  “Transaction” for the purposes of this Non-Performance Provision means any transaction now existing or hereafter entered into between the parties which is a rate swap transaction, basis swap, forward rate transaction, commodity swap, commodity option, equity or equity index swap, equity or equity index option, bond option, interest rate option, foreign exchange transaction, cap transaction, floor transaction, collar transaction, currency swap transaction, cross-currency rate swap transaction, currency option or any other similar transaction.</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ab/>
      </w:r>
      <w:r>
        <w:rPr>
          <w:b/>
          <w:spacing w:val="-2"/>
          <w:u w:val="single"/>
        </w:rPr>
        <w:t>Market Disruption</w:t>
      </w:r>
      <w:r>
        <w:rPr>
          <w:b/>
          <w:spacing w:val="-2"/>
        </w:rPr>
        <w:t>:</w:t>
      </w:r>
      <w:r>
        <w:rPr>
          <w:spacing w:val="-2"/>
        </w:rPr>
        <w:t xml:space="preserve">  In the event of a market disruption making the Settlement Price indeterminable as provided herein, the parties agree to the following: </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 w:val="left" w:pos="0" w:leader="none"/>
        </w:tabs>
        <w:suppressAutoHyphens w:val="true"/>
        <w:ind w:hanging="720" w:start="720" w:end="0"/>
        <w:jc w:val="both"/>
        <w:rPr/>
      </w:pPr>
      <w:r>
        <w:rPr>
          <w:spacing w:val="-2"/>
        </w:rPr>
        <w:tab/>
        <w:tab/>
        <w:t xml:space="preserve">(A)  If the Settlement Price for a pricing period is not determinable as provided above, then the Settlement Price for that pricing period shall be equal to the natural gas price reported in </w:t>
      </w:r>
      <w:r>
        <w:rPr>
          <w:spacing w:val="-2"/>
          <w:u w:val="single"/>
        </w:rPr>
        <w:t xml:space="preserve">Inside FERC's Gas Market Report </w:t>
      </w:r>
      <w:r>
        <w:rPr>
          <w:spacing w:val="-2"/>
        </w:rPr>
        <w:t xml:space="preserve">for the South Louisiana Henry Hub Indexprice as reported in the “Market Center Spot-Gas Prices” section located in the first regular issue of </w:t>
      </w:r>
      <w:r>
        <w:rPr>
          <w:spacing w:val="-2"/>
          <w:u w:val="single"/>
        </w:rPr>
        <w:t>Inside FERC's Gas Market Report</w:t>
      </w:r>
      <w:r>
        <w:rPr>
          <w:spacing w:val="-2"/>
        </w:rPr>
        <w:t xml:space="preserve"> published in the contract month.</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 w:val="left" w:pos="0" w:leader="none"/>
        </w:tabs>
        <w:suppressAutoHyphens w:val="true"/>
        <w:ind w:hanging="720" w:start="720" w:end="0"/>
        <w:jc w:val="both"/>
        <w:rPr>
          <w:spacing w:val="-2"/>
        </w:rPr>
      </w:pPr>
      <w:r>
        <w:rPr>
          <w:spacing w:val="-2"/>
        </w:rPr>
        <w:tab/>
        <w:tab/>
        <w:t>(B)  If the Settlement Price for a pricing period is not determinable as provided above, then it shall be mutually determined by the parties in good faith.</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ab/>
      </w:r>
      <w:r>
        <w:rPr>
          <w:b/>
          <w:spacing w:val="-2"/>
          <w:u w:val="single"/>
        </w:rPr>
        <w:t>Assignment</w:t>
      </w:r>
      <w:r>
        <w:rPr>
          <w:b/>
          <w:spacing w:val="-2"/>
        </w:rPr>
        <w:t>:</w:t>
      </w:r>
      <w:r>
        <w:rPr>
          <w:spacing w:val="-2"/>
        </w:rPr>
        <w:t xml:space="preserve">  The transaction set forth in this Confirmation may not be assigned without the prior written consent of the other party.</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ab/>
      </w:r>
      <w:r>
        <w:rPr>
          <w:b/>
          <w:spacing w:val="-2"/>
          <w:u w:val="single"/>
        </w:rPr>
        <w:t>Telephonic Taping</w:t>
      </w:r>
      <w:r>
        <w:rPr>
          <w:b/>
          <w:spacing w:val="-2"/>
        </w:rPr>
        <w:t>:</w:t>
      </w:r>
      <w:r>
        <w:rPr>
          <w:spacing w:val="-2"/>
        </w:rPr>
        <w:t xml:space="preserve">  Each of the parties hereto (i) consents to the recording of the telephone conversations of their respective trading and marketing personnel in connection with these General Terms and Conditions, and (ii) agrees that any such electronic recordings may be submitted in evidence in any suit, action or other proceedings in relation to this transaction, Confirmation or these General Terms and Conditions.</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spacing w:val="-2"/>
        </w:rPr>
        <w:tab/>
      </w:r>
      <w:r>
        <w:rPr>
          <w:b/>
          <w:spacing w:val="-2"/>
          <w:u w:val="single"/>
        </w:rPr>
        <w:t>Limitation of Liability</w:t>
      </w:r>
      <w:r>
        <w:rPr>
          <w:b/>
          <w:spacing w:val="-2"/>
        </w:rPr>
        <w:t xml:space="preserve">:  </w:t>
      </w:r>
      <w:r>
        <w:rPr>
          <w:spacing w:val="-2"/>
        </w:rPr>
        <w:t>In no event shall either party be liable hereunder for any consequential, indirect, punitive or other damages except as specifically provided herein.</w:t>
      </w:r>
    </w:p>
    <w:p>
      <w:pPr>
        <w:pStyle w:val="Normal"/>
        <w:tabs>
          <w:tab w:val="clear" w:pos="720"/>
          <w:tab w:val="left" w:pos="-720" w:leader="none"/>
        </w:tabs>
        <w:suppressAutoHyphens w:val="true"/>
        <w:jc w:val="both"/>
        <w:rPr>
          <w:spacing w:val="-2"/>
        </w:rPr>
      </w:pPr>
      <w:r>
        <w:rPr>
          <w:spacing w:val="-2"/>
        </w:rPr>
      </w:r>
    </w:p>
    <w:sectPr>
      <w:type w:val="continuous"/>
      <w:pgSz w:w="12240" w:h="15840"/>
      <w:pgMar w:left="1440" w:right="1440" w:gutter="0" w:header="0" w:top="1152" w:footer="1080" w:bottom="113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suppressAutoHyphens w:val="true"/>
      <w:jc w:val="center"/>
      <w:rPr>
        <w:sz w:val="24"/>
      </w:rPr>
    </w:pPr>
    <w:r>
      <w:rPr>
        <w:sz w:val="24"/>
      </w:rPr>
    </w:r>
  </w:p>
  <w:p>
    <w:pPr>
      <w:pStyle w:val="Normal"/>
      <w:rPr>
        <w:sz w:val="24"/>
        <w:lang w:val="en-CA"/>
      </w:rPr>
    </w:pPr>
    <w:r>
      <w:rPr>
        <w:sz w:val="24"/>
        <w:lang w:val="en-CA"/>
      </w:rPr>
    </w:r>
    <w: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152400</wp:posOffset>
              </wp:positionV>
              <wp:extent cx="5943600" cy="127000"/>
              <wp:effectExtent l="0" t="0" r="0" b="0"/>
              <wp:wrapNone/>
              <wp:docPr id="1" name="Frame1"/>
              <a:graphic xmlns:a="http://schemas.openxmlformats.org/drawingml/2006/main">
                <a:graphicData uri="http://schemas.microsoft.com/office/word/2010/wordprocessingShape">
                  <wps:wsp>
                    <wps:cNvSpPr txBox="1"/>
                    <wps:spPr>
                      <a:xfrm>
                        <a:off x="0" y="0"/>
                        <a:ext cx="5943600" cy="127000"/>
                      </a:xfrm>
                      <a:prstGeom prst="rect"/>
                      <a:solidFill>
                        <a:srgbClr val="FFFFFF">
                          <a:alpha val="0"/>
                        </a:srgbClr>
                      </a:solidFill>
                    </wps:spPr>
                    <wps:txbx>
                      <w:txbxContent>
                        <w:p>
                          <w:pPr>
                            <w:pStyle w:val="Normal"/>
                            <w:tabs>
                              <w:tab w:val="clear" w:pos="720"/>
                              <w:tab w:val="center" w:pos="4680" w:leader="none"/>
                              <w:tab w:val="right" w:pos="9360" w:leader="none"/>
                            </w:tabs>
                            <w:rPr/>
                          </w:pPr>
                          <w:r>
                            <w:rPr>
                              <w:sz w:val="24"/>
                            </w:rPr>
                            <w:tab/>
                          </w:r>
                          <w:r>
                            <w:rPr>
                              <w:spacing w:val="-2"/>
                            </w:rPr>
                            <w:fldChar w:fldCharType="begin"/>
                          </w:r>
                          <w:r>
                            <w:rPr>
                              <w:spacing w:val="-2"/>
                            </w:rPr>
                            <w:instrText xml:space="preserve"> PAGE \* ARABIC </w:instrText>
                          </w:r>
                          <w:r>
                            <w:rPr>
                              <w:spacing w:val="-2"/>
                            </w:rPr>
                            <w:fldChar w:fldCharType="separate"/>
                          </w:r>
                          <w:r>
                            <w:rPr>
                              <w:spacing w:val="-2"/>
                            </w:rPr>
                            <w:t>3</w:t>
                          </w:r>
                          <w:r>
                            <w:rPr>
                              <w:spacing w:val="-2"/>
                            </w:rPr>
                            <w:fldChar w:fldCharType="end"/>
                          </w:r>
                        </w:p>
                      </w:txbxContent>
                    </wps:txbx>
                    <wps:bodyPr anchor="t" lIns="635" tIns="635" rIns="635" bIns="635">
                      <a:noAutofit/>
                    </wps:bodyPr>
                  </wps:wsp>
                </a:graphicData>
              </a:graphic>
            </wp:anchor>
          </w:drawing>
        </mc:Choice>
        <mc:Fallback>
          <w:pict>
            <v:rect fillcolor="#FFFFFF" style="position:absolute;rotation:-0;width:468pt;height:10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sz w:val="24"/>
                      </w:rPr>
                      <w:tab/>
                    </w:r>
                    <w:r>
                      <w:rPr>
                        <w:spacing w:val="-2"/>
                      </w:rPr>
                      <w:fldChar w:fldCharType="begin"/>
                    </w:r>
                    <w:r>
                      <w:rPr>
                        <w:spacing w:val="-2"/>
                      </w:rPr>
                      <w:instrText xml:space="preserve"> PAGE \* ARABIC </w:instrText>
                    </w:r>
                    <w:r>
                      <w:rPr>
                        <w:spacing w:val="-2"/>
                      </w:rPr>
                      <w:fldChar w:fldCharType="separate"/>
                    </w:r>
                    <w:r>
                      <w:rPr>
                        <w:spacing w:val="-2"/>
                      </w:rPr>
                      <w:t>3</w:t>
                    </w:r>
                    <w:r>
                      <w:rPr>
                        <w:spacing w:val="-2"/>
                      </w:rPr>
                      <w:fldChar w:fldCharType="end"/>
                    </w:r>
                  </w:p>
                </w:txbxContent>
              </v:textbox>
              <w10:wrap type="non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efaultParagraphFo">
    <w:name w:val="Default Paragraph Fo"/>
    <w:basedOn w:val="DefaultParagraphFont"/>
    <w:qFormat/>
    <w:rPr/>
  </w:style>
  <w:style w:type="character" w:styleId="EquationCaption">
    <w:name w:val="_Equation Caption"/>
    <w:basedOn w:val="DefaultParagraphFont"/>
    <w:qFormat/>
    <w:rPr/>
  </w:style>
  <w:style w:type="character" w:styleId="EquationCaption1">
    <w:name w:val="_Equation Caption1"/>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2001-09-24T12:53:00Z</dcterms:created>
  <dc:creator>L G &amp; E Natural</dc:creator>
  <dc:description/>
  <cp:keywords>WGM NYMEX</cp:keywords>
  <dc:language>en-CA</dc:language>
  <cp:lastModifiedBy>Retail Gas Distribution</cp:lastModifiedBy>
  <cp:lastPrinted>2001-08-17T10:38:00Z</cp:lastPrinted>
  <dcterms:modified xsi:type="dcterms:W3CDTF">2001-09-24T12:56:00Z</dcterms:modified>
  <cp:revision>3</cp:revision>
  <dc:subject>Swap Short Form</dc:subject>
  <dc:title>j:\wec\timm\nymex\swapshrt.frm [Swap Short Form]</dc:title>
</cp:coreProperties>
</file>