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Gas Trading Vision Project</w:t>
      </w:r>
    </w:p>
    <w:p>
      <w:pPr>
        <w:pStyle w:val="Normal"/>
        <w:jc w:val="center"/>
        <w:rPr/>
      </w:pPr>
      <w:r>
        <w:rPr/>
        <w:t>Meeting Notes – 3/22/01</w:t>
      </w:r>
    </w:p>
    <w:p>
      <w:pPr>
        <w:pStyle w:val="Normal"/>
        <w:rPr/>
      </w:pPr>
      <w:r>
        <w:rPr/>
      </w:r>
    </w:p>
    <w:p>
      <w:pPr>
        <w:pStyle w:val="Normal"/>
        <w:rPr/>
      </w:pPr>
      <w:r>
        <w:rPr/>
        <w:t>Attendees: Geof Storey, Zhiyong Wei, and Chuck Ames</w:t>
      </w:r>
    </w:p>
    <w:p>
      <w:pPr>
        <w:pStyle w:val="Normal"/>
        <w:rPr/>
      </w:pPr>
      <w:r>
        <w:rPr/>
      </w:r>
    </w:p>
    <w:p>
      <w:pPr>
        <w:pStyle w:val="Normal"/>
        <w:rPr/>
      </w:pPr>
      <w:r>
        <w:rPr/>
        <w:t>Agenda: Discuss requirements for Gas Trading Vision (GTV) version 3.</w:t>
      </w:r>
    </w:p>
    <w:p>
      <w:pPr>
        <w:pStyle w:val="Normal"/>
        <w:rPr/>
      </w:pPr>
      <w:r>
        <w:rPr/>
      </w:r>
    </w:p>
    <w:p>
      <w:pPr>
        <w:pStyle w:val="Heading1"/>
        <w:ind w:hanging="0" w:start="0"/>
        <w:rPr/>
      </w:pPr>
      <w:r>
        <w:rPr/>
        <w:t>Issue 1: Capability for desk roll-ups on an ad-hoc basis</w:t>
      </w:r>
    </w:p>
    <w:p>
      <w:pPr>
        <w:pStyle w:val="Normal"/>
        <w:rPr/>
      </w:pPr>
      <w:r>
        <w:rPr/>
        <w:t>In GTV II, the roll-up capability has been provided with predefined desks. In this phase, traders need to have the ability of defining roll-up desks on an ad-hoc basis.</w:t>
      </w:r>
    </w:p>
    <w:p>
      <w:pPr>
        <w:pStyle w:val="Normal"/>
        <w:rPr/>
      </w:pPr>
      <w:r>
        <w:rPr/>
      </w:r>
    </w:p>
    <w:p>
      <w:pPr>
        <w:pStyle w:val="Heading1"/>
        <w:ind w:hanging="0" w:start="0"/>
        <w:rPr/>
      </w:pPr>
      <w:r>
        <w:rPr/>
        <w:t>Issue 2: Nymex options</w:t>
      </w:r>
    </w:p>
    <w:p>
      <w:pPr>
        <w:pStyle w:val="Normal"/>
        <w:rPr/>
      </w:pPr>
      <w:r>
        <w:rPr/>
        <w:t>Separate reports need to be provided for predictive Vega and Theta in the same format as Gamma for which a report exists. The format is shown as follows.</w:t>
      </w:r>
    </w:p>
    <w:p>
      <w:pPr>
        <w:pStyle w:val="Normal"/>
        <w:rPr/>
      </w:pPr>
      <w:r>
        <w:rPr/>
      </w:r>
    </w:p>
    <w:p>
      <w:pPr>
        <w:pStyle w:val="Normal"/>
        <w:rPr>
          <w:sz w:val="16"/>
        </w:rPr>
      </w:pPr>
      <w:r>
        <w:rPr>
          <w:sz w:val="16"/>
        </w:rPr>
        <w:t xml:space="preserve">             </w:t>
      </w:r>
      <w:r>
        <w:rPr>
          <w:sz w:val="16"/>
        </w:rPr>
        <w:t>|--------------------------------Hedge Qty ---------------------------  |-----------------------------Predictive Greeks --------------------|</w:t>
      </w:r>
    </w:p>
    <w:p>
      <w:pPr>
        <w:pStyle w:val="Normal"/>
        <w:rPr>
          <w:sz w:val="16"/>
        </w:rPr>
      </w:pPr>
      <w:r>
        <w:rPr>
          <w:sz w:val="16"/>
        </w:rPr>
        <w:t xml:space="preserve">                                                                                                                                                </w:t>
      </w:r>
      <w:r>
        <w:rPr>
          <w:sz w:val="16"/>
        </w:rPr>
        <w:t>|----- Option Vega ($) at 1% change -----|</w:t>
      </w:r>
    </w:p>
    <w:p>
      <w:pPr>
        <w:pStyle w:val="BodyText"/>
        <w:rPr>
          <w:sz w:val="14"/>
        </w:rPr>
      </w:pPr>
      <w:r>
        <w:rPr>
          <w:sz w:val="14"/>
        </w:rPr>
        <w:t>RefPer    NetQty    Futures    Swaps   OptDelta    OTCopt   EXGCall   EXGPut    SigmaDelta   Charm   -2.00   –1.00   -.5   -.25   .25  .5   1.00   2.00</w:t>
      </w:r>
    </w:p>
    <w:p>
      <w:pPr>
        <w:pStyle w:val="BodyText"/>
        <w:rPr>
          <w:sz w:val="14"/>
        </w:rPr>
      </w:pPr>
      <w:r>
        <w:rPr>
          <w:sz w:val="14"/>
        </w:rPr>
      </w:r>
    </w:p>
    <w:p>
      <w:pPr>
        <w:pStyle w:val="BodyText"/>
        <w:rPr>
          <w:sz w:val="14"/>
        </w:rPr>
      </w:pPr>
      <w:r>
        <w:rPr>
          <w:sz w:val="14"/>
        </w:rPr>
      </w:r>
    </w:p>
    <w:p>
      <w:pPr>
        <w:pStyle w:val="BodyText"/>
        <w:rPr>
          <w:sz w:val="14"/>
        </w:rPr>
      </w:pPr>
      <w:r>
        <w:rPr>
          <w:sz w:val="14"/>
        </w:rPr>
      </w:r>
    </w:p>
    <w:p>
      <w:pPr>
        <w:pStyle w:val="BodyText"/>
        <w:rPr>
          <w:sz w:val="14"/>
        </w:rPr>
      </w:pPr>
      <w:r>
        <w:rPr>
          <w:sz w:val="14"/>
        </w:rPr>
      </w:r>
    </w:p>
    <w:p>
      <w:pPr>
        <w:pStyle w:val="Normal"/>
        <w:rPr>
          <w:sz w:val="16"/>
        </w:rPr>
      </w:pPr>
      <w:r>
        <w:rPr>
          <w:sz w:val="16"/>
        </w:rPr>
        <w:t xml:space="preserve">             </w:t>
      </w:r>
      <w:r>
        <w:rPr>
          <w:sz w:val="16"/>
        </w:rPr>
        <w:t>|--------------------------------Hedge Qty ---------------------------  |-----------------------------Predictive Greeks --------------------|</w:t>
      </w:r>
    </w:p>
    <w:p>
      <w:pPr>
        <w:pStyle w:val="Normal"/>
        <w:rPr>
          <w:sz w:val="16"/>
        </w:rPr>
      </w:pPr>
      <w:r>
        <w:rPr>
          <w:sz w:val="16"/>
        </w:rPr>
        <w:t xml:space="preserve">                                                                                                                                                </w:t>
      </w:r>
      <w:r>
        <w:rPr>
          <w:sz w:val="16"/>
        </w:rPr>
        <w:t>|---- Option Theta ($) at 1day change ----|</w:t>
      </w:r>
    </w:p>
    <w:p>
      <w:pPr>
        <w:pStyle w:val="BodyText"/>
        <w:rPr>
          <w:sz w:val="14"/>
        </w:rPr>
      </w:pPr>
      <w:r>
        <w:rPr>
          <w:sz w:val="14"/>
        </w:rPr>
        <w:t>RefPer    NetQty    Futures    Swaps   OptDelta    OTCopt   EXGCall   EXGPut    SigmaDelta   Charm   -2.00   –1.00   -.5   -.25   .25  .5   1.00   2.00</w:t>
      </w:r>
    </w:p>
    <w:p>
      <w:pPr>
        <w:pStyle w:val="BodyText"/>
        <w:rPr>
          <w:sz w:val="14"/>
        </w:rPr>
      </w:pPr>
      <w:r>
        <w:rPr>
          <w:sz w:val="14"/>
        </w:rPr>
      </w:r>
    </w:p>
    <w:p>
      <w:pPr>
        <w:pStyle w:val="BodyText"/>
        <w:rPr>
          <w:sz w:val="24"/>
        </w:rPr>
      </w:pPr>
      <w:r>
        <w:rPr>
          <w:sz w:val="24"/>
        </w:rPr>
      </w:r>
    </w:p>
    <w:p>
      <w:pPr>
        <w:pStyle w:val="BodyText"/>
        <w:rPr>
          <w:b/>
          <w:bCs/>
          <w:sz w:val="24"/>
        </w:rPr>
      </w:pPr>
      <w:r>
        <w:rPr>
          <w:b/>
          <w:bCs/>
          <w:sz w:val="24"/>
        </w:rPr>
        <w:t>Issue 3: Spread options</w:t>
      </w:r>
    </w:p>
    <w:p>
      <w:pPr>
        <w:pStyle w:val="BodyText"/>
        <w:rPr>
          <w:sz w:val="24"/>
        </w:rPr>
      </w:pPr>
      <w:r>
        <w:rPr>
          <w:sz w:val="24"/>
        </w:rPr>
        <w:t>The systems need to be enhanced to capture and value different kinds spread options including Gas Daily index spread option, basis option (off NYMEX), and location spread option (any pair of indexes.)  If one side of the two indexes settles before the other, position needs to be rolled off for the settled index and the spread option becomes then a fixed price option.</w:t>
      </w:r>
    </w:p>
    <w:p>
      <w:pPr>
        <w:pStyle w:val="BodyText"/>
        <w:rPr>
          <w:sz w:val="24"/>
        </w:rPr>
      </w:pPr>
      <w:r>
        <w:rPr>
          <w:sz w:val="24"/>
        </w:rPr>
      </w:r>
    </w:p>
    <w:p>
      <w:pPr>
        <w:pStyle w:val="BodyText"/>
        <w:rPr/>
      </w:pPr>
      <w:r>
        <w:rPr>
          <w:sz w:val="24"/>
        </w:rPr>
        <w:t>Transportation capacity will be booked as location spread option. Once the month rolls in, the transportation capacity becomes transportation usage. Both transportation capacity and transportation usage will be valued as spread options. For example, a transportation deal moves gas from location 1 to location 2. The price for location 1 will be (P</w:t>
      </w:r>
      <w:r>
        <w:rPr>
          <w:sz w:val="24"/>
          <w:vertAlign w:val="subscript"/>
        </w:rPr>
        <w:t xml:space="preserve">1 </w:t>
      </w:r>
      <w:r>
        <w:rPr/>
        <w:t xml:space="preserve">+ </w:t>
      </w:r>
      <w:r>
        <w:rPr>
          <w:sz w:val="24"/>
        </w:rPr>
        <w:t>B</w:t>
      </w:r>
      <w:r>
        <w:rPr>
          <w:sz w:val="24"/>
          <w:vertAlign w:val="subscript"/>
        </w:rPr>
        <w:t>1</w:t>
      </w:r>
      <w:r>
        <w:rPr>
          <w:sz w:val="24"/>
        </w:rPr>
        <w:t xml:space="preserve"> + I</w:t>
      </w:r>
      <w:r>
        <w:rPr>
          <w:sz w:val="24"/>
          <w:vertAlign w:val="subscript"/>
        </w:rPr>
        <w:t>1</w:t>
      </w:r>
      <w:r>
        <w:rPr>
          <w:sz w:val="24"/>
        </w:rPr>
        <w:t>) * (1 + % of fuel cost). The price for location 2 will be (P</w:t>
      </w:r>
      <w:r>
        <w:rPr>
          <w:sz w:val="24"/>
          <w:vertAlign w:val="subscript"/>
        </w:rPr>
        <w:t>2</w:t>
      </w:r>
      <w:r>
        <w:rPr>
          <w:sz w:val="24"/>
        </w:rPr>
        <w:t xml:space="preserve"> + B</w:t>
      </w:r>
      <w:r>
        <w:rPr>
          <w:sz w:val="24"/>
          <w:vertAlign w:val="subscript"/>
        </w:rPr>
        <w:t>2</w:t>
      </w:r>
      <w:r>
        <w:rPr>
          <w:sz w:val="24"/>
        </w:rPr>
        <w:t xml:space="preserve"> + I</w:t>
      </w:r>
      <w:r>
        <w:rPr>
          <w:sz w:val="24"/>
          <w:vertAlign w:val="subscript"/>
        </w:rPr>
        <w:t>2</w:t>
      </w:r>
      <w:r>
        <w:rPr>
          <w:sz w:val="24"/>
        </w:rPr>
        <w:t>). For transportation usage Gas Daily prices will be used instead of (P+B+I).</w:t>
      </w:r>
    </w:p>
    <w:p>
      <w:pPr>
        <w:pStyle w:val="BodyText"/>
        <w:rPr>
          <w:sz w:val="24"/>
        </w:rPr>
      </w:pPr>
      <w:r>
        <w:rPr>
          <w:sz w:val="24"/>
        </w:rPr>
      </w:r>
    </w:p>
    <w:p>
      <w:pPr>
        <w:pStyle w:val="BodyText"/>
        <w:rPr/>
      </w:pPr>
      <w:r>
        <w:rPr>
          <w:b/>
          <w:bCs/>
          <w:sz w:val="24"/>
        </w:rPr>
        <w:t xml:space="preserve">Issue 4: </w:t>
      </w:r>
      <w:r>
        <w:rPr>
          <w:b/>
          <w:sz w:val="24"/>
        </w:rPr>
        <w:t>Single point of deal entry for term deals</w:t>
      </w:r>
      <w:r>
        <w:rPr>
          <w:sz w:val="24"/>
        </w:rPr>
        <w:t xml:space="preserve"> </w:t>
      </w:r>
      <w:r>
        <w:rPr>
          <w:b/>
          <w:bCs/>
          <w:sz w:val="24"/>
        </w:rPr>
        <w:t>(Phase II)</w:t>
      </w:r>
    </w:p>
    <w:p>
      <w:pPr>
        <w:pStyle w:val="BodyText"/>
        <w:rPr>
          <w:sz w:val="24"/>
        </w:rPr>
      </w:pPr>
      <w:r>
        <w:rPr>
          <w:sz w:val="24"/>
        </w:rPr>
        <w:t>Decommission TAGG deal entry for gas trading. TDS and Sitara deal entries will co-exist. Improve TDS deal blotter to be able to perform all TAGG deal entry functions so that all financial deals will be captured through the new TDS blotter. For physical deals, TDS needs to get pipe and zone information. Deal changes that were done through Sitara deal entry and that affect both sides (Sitara and TDS/TAGG) may need to be recaptured through the new TDS deal blotter.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2001-03-22T22:50:00Z</dcterms:created>
  <dc:creator>\</dc:creator>
  <dc:description/>
  <dc:language>en-CA</dc:language>
  <cp:lastModifiedBy>\</cp:lastModifiedBy>
  <cp:lastPrinted>2001-03-26T19:20:00Z</cp:lastPrinted>
  <dcterms:modified xsi:type="dcterms:W3CDTF">2001-03-27T14:13:00Z</dcterms:modified>
  <cp:revision>11</cp:revision>
  <dc:subject/>
  <dc:title>Gas Trading Vision Project</dc:title>
</cp:coreProperties>
</file>