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center"/>
        <w:rPr>
          <w:rFonts w:ascii="Arial Narrow" w:hAnsi="Arial Narrow"/>
          <w:sz w:val="18"/>
        </w:rPr>
      </w:pPr>
      <w:r>
        <w:rPr>
          <w:rFonts w:ascii="Arial Narrow" w:hAnsi="Arial Narrow"/>
          <w:sz w:val="18"/>
        </w:rPr>
      </w:r>
    </w:p>
    <w:p>
      <w:pPr>
        <w:pStyle w:val="Normal"/>
        <w:bidi w:val="0"/>
        <w:spacing w:lineRule="auto" w:line="240"/>
        <w:jc w:val="center"/>
        <w:rPr>
          <w:rFonts w:ascii="Arial Narrow" w:hAnsi="Arial Narrow"/>
          <w:b/>
          <w:sz w:val="22"/>
        </w:rPr>
      </w:pPr>
      <w:r>
        <w:rPr>
          <w:rFonts w:ascii="Arial Narrow" w:hAnsi="Arial Narrow"/>
          <w:b/>
          <w:sz w:val="22"/>
        </w:rPr>
        <w:t xml:space="preserve">GAS CAPACITY RELEASE TRANSPORTATION CAPACITY </w:t>
      </w:r>
    </w:p>
    <w:p>
      <w:pPr>
        <w:pStyle w:val="Heading1"/>
        <w:bidi w:val="0"/>
        <w:spacing w:lineRule="auto" w:line="240" w:before="0" w:after="0"/>
        <w:rPr>
          <w:rFonts w:ascii="Arial Narrow" w:hAnsi="Arial Narrow"/>
          <w:sz w:val="22"/>
        </w:rPr>
      </w:pPr>
      <w:r>
        <w:rPr>
          <w:rFonts w:ascii="Arial Narrow" w:hAnsi="Arial Narrow"/>
          <w:sz w:val="22"/>
        </w:rPr>
        <w:t>GENERAL TERMS AND CONDITIONS</w:t>
      </w:r>
      <w:bookmarkStart w:id="0" w:name="_Toc336075718"/>
      <w:bookmarkStart w:id="1" w:name="_Toc321892112"/>
      <w:bookmarkStart w:id="2" w:name="_Toc321727449"/>
      <w:bookmarkStart w:id="3" w:name="_Toc302280098"/>
      <w:bookmarkStart w:id="4" w:name="_Toc351197746"/>
      <w:r>
        <w:rPr>
          <w:rFonts w:ascii="Arial Narrow" w:hAnsi="Arial Narrow"/>
          <w:sz w:val="22"/>
        </w:rPr>
        <w:t xml:space="preserve"> ("</w:t>
      </w:r>
      <w:r>
        <w:rPr>
          <w:rFonts w:ascii="Arial Narrow" w:hAnsi="Arial Narrow"/>
          <w:sz w:val="22"/>
          <w:u w:val="single"/>
        </w:rPr>
        <w:t>GTC</w:t>
      </w:r>
      <w:r>
        <w:rPr>
          <w:rFonts w:ascii="Arial Narrow" w:hAnsi="Arial Narrow"/>
          <w:sz w:val="22"/>
        </w:rPr>
        <w:t>")</w:t>
      </w:r>
    </w:p>
    <w:p>
      <w:pPr>
        <w:pStyle w:val="Heading2"/>
        <w:bidi w:val="0"/>
        <w:spacing w:lineRule="auto" w:line="240" w:before="0" w:after="0"/>
        <w:rPr>
          <w:rFonts w:ascii="Times New Roman" w:hAnsi="Times New Roman"/>
          <w:sz w:val="22"/>
        </w:rPr>
      </w:pPr>
      <w:r>
        <w:rPr>
          <w:sz w:val="22"/>
        </w:rPr>
      </w:r>
    </w:p>
    <w:p>
      <w:pPr>
        <w:pStyle w:val="Normal"/>
        <w:bidi w:val="0"/>
        <w:spacing w:lineRule="auto" w:line="240"/>
        <w:jc w:val="center"/>
        <w:rPr>
          <w:rFonts w:ascii="Arial Narrow" w:hAnsi="Arial Narrow"/>
          <w:b/>
          <w:sz w:val="22"/>
        </w:rPr>
      </w:pPr>
      <w:r>
        <w:rPr>
          <w:rFonts w:ascii="Arial Narrow" w:hAnsi="Arial Narrow"/>
          <w:b/>
          <w:sz w:val="22"/>
        </w:rPr>
        <w:t>1.</w:t>
      </w:r>
      <w:bookmarkEnd w:id="0"/>
      <w:bookmarkEnd w:id="1"/>
      <w:bookmarkEnd w:id="2"/>
      <w:bookmarkEnd w:id="3"/>
      <w:bookmarkEnd w:id="4"/>
      <w:r>
        <w:rPr>
          <w:rFonts w:ascii="Arial Narrow" w:hAnsi="Arial Narrow"/>
          <w:b/>
          <w:sz w:val="22"/>
        </w:rPr>
        <w:t>    TRANSACTIONS</w:t>
      </w:r>
    </w:p>
    <w:p>
      <w:pPr>
        <w:pStyle w:val="Normal"/>
        <w:bidi w:val="0"/>
        <w:spacing w:lineRule="auto" w:line="240"/>
        <w:jc w:val="center"/>
        <w:rPr>
          <w:rFonts w:ascii="Arial Narrow" w:hAnsi="Arial Narrow"/>
          <w:b/>
          <w:sz w:val="22"/>
        </w:rPr>
      </w:pPr>
      <w:r>
        <w:rPr>
          <w:rFonts w:ascii="Arial Narrow" w:hAnsi="Arial Narrow"/>
          <w:b/>
          <w:sz w:val="22"/>
        </w:rPr>
      </w:r>
    </w:p>
    <w:p>
      <w:pPr>
        <w:pStyle w:val="BodyTextIndent"/>
        <w:bidi w:val="0"/>
        <w:spacing w:lineRule="auto" w:line="240"/>
        <w:rPr>
          <w:rFonts w:ascii="Arial Narrow" w:hAnsi="Arial Narrow"/>
          <w:sz w:val="22"/>
        </w:rPr>
      </w:pPr>
      <w:bookmarkStart w:id="5" w:name="_Toc302280104"/>
      <w:bookmarkStart w:id="6" w:name="_Toc351197752"/>
      <w:bookmarkStart w:id="7" w:name="_Toc336075724"/>
      <w:bookmarkStart w:id="8" w:name="_Toc321892118"/>
      <w:bookmarkStart w:id="9" w:name="_Toc321727455"/>
      <w:bookmarkEnd w:id="5"/>
      <w:bookmarkEnd w:id="6"/>
      <w:bookmarkEnd w:id="7"/>
      <w:bookmarkEnd w:id="8"/>
      <w:bookmarkEnd w:id="9"/>
      <w:r>
        <w:rPr>
          <w:rFonts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ascii="Arial Narrow" w:hAnsi="Arial Narrow"/>
          <w:b/>
          <w:sz w:val="22"/>
        </w:rPr>
        <w:t>Daily Contract Capacity</w:t>
      </w:r>
      <w:r>
        <w:rPr>
          <w:rFonts w:ascii="Arial Narrow" w:hAnsi="Arial Narrow"/>
          <w:sz w:val="22"/>
        </w:rPr>
        <w:t xml:space="preserve"> shall be posted by the </w:t>
      </w:r>
      <w:r>
        <w:rPr>
          <w:rFonts w:ascii="Arial Narrow" w:hAnsi="Arial Narrow"/>
          <w:b/>
          <w:sz w:val="22"/>
        </w:rPr>
        <w:t xml:space="preserve">Seller </w:t>
      </w:r>
      <w:r>
        <w:rPr>
          <w:rFonts w:ascii="Arial Narrow" w:hAnsi="Arial Narrow"/>
          <w:sz w:val="22"/>
        </w:rPr>
        <w:t>and bid on by</w:t>
      </w:r>
      <w:r>
        <w:rPr>
          <w:rFonts w:ascii="Arial Narrow" w:hAnsi="Arial Narrow"/>
          <w:b/>
          <w:sz w:val="22"/>
        </w:rPr>
        <w:t xml:space="preserve"> Buyer </w:t>
      </w:r>
      <w:r>
        <w:rPr>
          <w:rFonts w:ascii="Arial Narrow" w:hAnsi="Arial Narrow"/>
          <w:sz w:val="22"/>
        </w:rPr>
        <w:t xml:space="preserve">in accordance with the tariff of the </w:t>
      </w:r>
      <w:r>
        <w:rPr>
          <w:rFonts w:ascii="Arial Narrow" w:hAnsi="Arial Narrow"/>
          <w:b/>
          <w:sz w:val="22"/>
        </w:rPr>
        <w:t>Reference Pipeline</w:t>
      </w:r>
      <w:r>
        <w:rPr>
          <w:rFonts w:ascii="Arial Narrow" w:hAnsi="Arial Narrow"/>
          <w:sz w:val="22"/>
        </w:rPr>
        <w:t xml:space="preserve"> from the </w:t>
      </w:r>
      <w:r>
        <w:rPr>
          <w:rFonts w:ascii="Arial Narrow" w:hAnsi="Arial Narrow"/>
          <w:b/>
          <w:sz w:val="22"/>
        </w:rPr>
        <w:t xml:space="preserve">Receipt Location </w:t>
      </w:r>
      <w:r>
        <w:rPr>
          <w:rFonts w:ascii="Arial Narrow" w:hAnsi="Arial Narrow"/>
          <w:sz w:val="22"/>
        </w:rPr>
        <w:t xml:space="preserve">to the </w:t>
      </w:r>
      <w:r>
        <w:rPr>
          <w:rFonts w:ascii="Arial Narrow" w:hAnsi="Arial Narrow"/>
          <w:b/>
          <w:sz w:val="22"/>
        </w:rPr>
        <w:t xml:space="preserve">Delivery Location </w:t>
      </w:r>
      <w:r>
        <w:rPr>
          <w:rFonts w:ascii="Arial Narrow" w:hAnsi="Arial Narrow"/>
          <w:sz w:val="22"/>
        </w:rPr>
        <w:t xml:space="preserve">for the </w:t>
      </w:r>
      <w:r>
        <w:rPr>
          <w:rFonts w:ascii="Arial Narrow" w:hAnsi="Arial Narrow"/>
          <w:b/>
          <w:sz w:val="22"/>
        </w:rPr>
        <w:t xml:space="preserve">Contract Price </w:t>
      </w:r>
      <w:r>
        <w:rPr>
          <w:rFonts w:ascii="Arial Narrow" w:hAnsi="Arial Narrow"/>
          <w:sz w:val="22"/>
        </w:rPr>
        <w:t>for the</w:t>
      </w:r>
      <w:r>
        <w:rPr>
          <w:rFonts w:ascii="Arial Narrow" w:hAnsi="Arial Narrow"/>
          <w:b/>
          <w:sz w:val="22"/>
        </w:rPr>
        <w:t xml:space="preserve"> Period of Delivery </w:t>
      </w:r>
      <w:r>
        <w:rPr>
          <w:rFonts w:ascii="Arial Narrow" w:hAnsi="Arial Narrow"/>
          <w:sz w:val="22"/>
        </w:rPr>
        <w:t xml:space="preserve">as provided in each Transaction and set forth on the Enron Online website.    </w:t>
      </w:r>
    </w:p>
    <w:p>
      <w:pPr>
        <w:pStyle w:val="BodyTextIndent"/>
        <w:bidi w:val="0"/>
        <w:spacing w:lineRule="auto" w:line="240"/>
        <w:rPr>
          <w:rFonts w:ascii="Arial Narrow" w:hAnsi="Arial Narrow"/>
          <w:sz w:val="22"/>
        </w:rPr>
      </w:pPr>
      <w:r>
        <w:rPr>
          <w:rFonts w:ascii="Arial Narrow" w:hAnsi="Arial Narrow"/>
          <w:sz w:val="22"/>
        </w:rPr>
      </w:r>
    </w:p>
    <w:p>
      <w:pPr>
        <w:pStyle w:val="Normal"/>
        <w:tabs>
          <w:tab w:val="left" w:pos="720" w:leader="none"/>
        </w:tabs>
        <w:bidi w:val="0"/>
        <w:spacing w:lineRule="auto" w:line="240"/>
        <w:ind w:hanging="360" w:start="720"/>
        <w:jc w:val="center"/>
        <w:rPr>
          <w:rFonts w:ascii="Arial Narrow" w:hAnsi="Arial Narrow"/>
          <w:b/>
          <w:sz w:val="22"/>
        </w:rPr>
      </w:pPr>
      <w:r>
        <w:rPr>
          <w:rFonts w:ascii="Arial Narrow" w:hAnsi="Arial Narrow"/>
          <w:b/>
          <w:sz w:val="22"/>
        </w:rPr>
        <w:t>2.</w:t>
        <w:tab/>
        <w:t>SELLER’S OBLIGATIONS, REPRESENTATIONS, AND WARRANTIES</w:t>
      </w:r>
    </w:p>
    <w:p>
      <w:pPr>
        <w:pStyle w:val="Normal"/>
        <w:bidi w:val="0"/>
        <w:spacing w:lineRule="auto" w:line="240"/>
        <w:jc w:val="center"/>
        <w:rPr>
          <w:rFonts w:ascii="Arial Narrow" w:hAnsi="Arial Narrow"/>
          <w:b/>
          <w:sz w:val="22"/>
        </w:rPr>
      </w:pPr>
      <w:r>
        <w:rPr>
          <w:rFonts w:ascii="Arial Narrow" w:hAnsi="Arial Narrow"/>
          <w:b/>
          <w:sz w:val="22"/>
        </w:rPr>
      </w:r>
    </w:p>
    <w:p>
      <w:pPr>
        <w:pStyle w:val="Normal"/>
        <w:bidi w:val="0"/>
        <w:spacing w:lineRule="auto" w:line="240"/>
        <w:ind w:firstLine="720"/>
        <w:rPr>
          <w:rFonts w:ascii="Arial Narrow" w:hAnsi="Arial Narrow"/>
          <w:sz w:val="22"/>
        </w:rPr>
      </w:pPr>
      <w:r>
        <w:rPr>
          <w:rFonts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r>
        <w:rPr>
          <w:rFonts w:ascii="Arial Narrow" w:hAnsi="Arial Narrow"/>
          <w:strike/>
          <w:color w:val="000000"/>
          <w:sz w:val="22"/>
        </w:rPr>
        <w:t>If a Transaction includes a Receipt Location or a Delivery Location which is specified as a “zone”,</w:t>
      </w:r>
      <w:r>
        <w:rPr>
          <w:rFonts w:ascii="Arial Narrow" w:hAnsi="Arial Narrow"/>
          <w:color w:val="000000"/>
          <w:sz w:val="22"/>
        </w:rPr>
        <w:t xml:space="preserve"> Seller represents and warrants that the </w:t>
      </w:r>
      <w:r>
        <w:rPr>
          <w:rFonts w:ascii="Arial Narrow" w:hAnsi="Arial Narrow"/>
          <w:strike/>
          <w:color w:val="000000"/>
          <w:sz w:val="22"/>
        </w:rPr>
        <w:t>Contract Price for the Transaction is applicable to all individual receipt and delivery points within that “zone”.</w:t>
      </w:r>
      <w:r>
        <w:rPr>
          <w:rFonts w:ascii="Arial Narrow" w:hAnsi="Arial Narrow"/>
          <w:color w:val="000000"/>
          <w:sz w:val="22"/>
        </w:rPr>
        <w:t xml:space="preserve"> </w:t>
      </w:r>
      <w:r>
        <w:rPr>
          <w:rFonts w:ascii="Arial Narrow" w:hAnsi="Arial Narrow"/>
          <w:b/>
          <w:color w:val="000000"/>
          <w:sz w:val="22"/>
          <w:u w:val="single"/>
        </w:rPr>
        <w:t>Transaction to be posted by the Seller and bid on by Buyer has no point specific limitations or discounts preventing Buyer from nominating from all points in the Receipt Location zone or to all points in the Delivery Location zone as secondary points at the Contract Price specified in the Transaction and at the same variable costs applicable to all primary points within that zone.</w:t>
      </w:r>
    </w:p>
    <w:p>
      <w:pPr>
        <w:pStyle w:val="Normal"/>
        <w:bidi w:val="0"/>
        <w:spacing w:lineRule="auto" w:line="240"/>
        <w:rPr>
          <w:rFonts w:ascii="Arial Narrow" w:hAnsi="Arial Narrow"/>
          <w:sz w:val="22"/>
        </w:rPr>
      </w:pPr>
      <w:r>
        <w:rPr>
          <w:rFonts w:ascii="Arial Narrow" w:hAnsi="Arial Narrow"/>
          <w:sz w:val="22"/>
        </w:rPr>
      </w:r>
    </w:p>
    <w:p>
      <w:pPr>
        <w:pStyle w:val="Expanded"/>
        <w:keepNext w:val="true"/>
        <w:bidi w:val="0"/>
        <w:spacing w:lineRule="auto" w:line="240" w:before="0" w:after="0"/>
        <w:rPr>
          <w:rFonts w:ascii="Arial Narrow" w:hAnsi="Arial Narrow"/>
          <w:sz w:val="22"/>
        </w:rPr>
      </w:pPr>
      <w:bookmarkStart w:id="10" w:name="_Toc302280104"/>
      <w:bookmarkStart w:id="11" w:name="_Toc351197752"/>
      <w:bookmarkStart w:id="12" w:name="_Toc336075724"/>
      <w:bookmarkStart w:id="13" w:name="_Toc321892118"/>
      <w:bookmarkStart w:id="14" w:name="_Toc321727455"/>
      <w:bookmarkEnd w:id="10"/>
      <w:bookmarkEnd w:id="11"/>
      <w:bookmarkEnd w:id="12"/>
      <w:bookmarkEnd w:id="13"/>
      <w:bookmarkEnd w:id="14"/>
      <w:r>
        <w:rPr>
          <w:rFonts w:ascii="Arial Narrow" w:hAnsi="Arial Narrow"/>
          <w:sz w:val="22"/>
        </w:rPr>
        <w:t>3.    BUYER’S OBLIGATIONS</w:t>
      </w:r>
    </w:p>
    <w:p>
      <w:pPr>
        <w:pStyle w:val="Normal"/>
        <w:bidi w:val="0"/>
        <w:spacing w:lineRule="atLeast" w:line="240"/>
        <w:rPr/>
      </w:pPr>
      <w:r>
        <w:rPr/>
      </w:r>
    </w:p>
    <w:p>
      <w:pPr>
        <w:pStyle w:val="BodyTextIndent2"/>
        <w:bidi w:val="0"/>
        <w:spacing w:lineRule="auto" w:line="240" w:before="0" w:after="0"/>
        <w:rPr>
          <w:rFonts w:ascii="Arial Narrow" w:hAnsi="Arial Narrow"/>
          <w:sz w:val="22"/>
        </w:rPr>
      </w:pPr>
      <w:r>
        <w:rPr>
          <w:rFonts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ascii="Arial Narrow" w:hAnsi="Arial Narrow"/>
          <w:b/>
          <w:sz w:val="22"/>
        </w:rPr>
        <w:t>including without limitation, satisfying all credit requirements of the Reference Pipeline</w:t>
      </w:r>
      <w:r>
        <w:rPr>
          <w:rFonts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bidi w:val="0"/>
        <w:spacing w:lineRule="auto" w:line="240" w:before="0" w:after="0"/>
        <w:rPr>
          <w:rFonts w:ascii="Arial Narrow" w:hAnsi="Arial Narrow"/>
          <w:sz w:val="22"/>
        </w:rPr>
      </w:pPr>
      <w:r>
        <w:rPr>
          <w:rFonts w:ascii="Arial Narrow" w:hAnsi="Arial Narrow"/>
          <w:sz w:val="22"/>
        </w:rPr>
      </w:r>
    </w:p>
    <w:p>
      <w:pPr>
        <w:pStyle w:val="Expanded"/>
        <w:keepNext w:val="true"/>
        <w:bidi w:val="0"/>
        <w:spacing w:lineRule="auto" w:line="240" w:before="0" w:after="0"/>
        <w:rPr>
          <w:rFonts w:ascii="Arial Narrow" w:hAnsi="Arial Narrow"/>
          <w:sz w:val="22"/>
        </w:rPr>
      </w:pPr>
      <w:r>
        <w:rPr>
          <w:rFonts w:ascii="Arial Narrow" w:hAnsi="Arial Narrow"/>
          <w:sz w:val="22"/>
        </w:rPr>
        <w:t>4.    TERMINATION OF TRANSACTION FOR FAILURE OF CONDITION PRECEDENT</w:t>
      </w:r>
    </w:p>
    <w:p>
      <w:pPr>
        <w:pStyle w:val="Normal"/>
        <w:bidi w:val="0"/>
        <w:spacing w:lineRule="atLeast" w:line="240"/>
        <w:rPr/>
      </w:pPr>
      <w:r>
        <w:rPr/>
      </w:r>
    </w:p>
    <w:p>
      <w:pPr>
        <w:pStyle w:val="Normal"/>
        <w:bidi w:val="0"/>
        <w:spacing w:lineRule="auto" w:line="240"/>
        <w:ind w:firstLine="720"/>
        <w:rPr>
          <w:rFonts w:ascii="Arial Narrow" w:hAnsi="Arial Narrow"/>
          <w:sz w:val="22"/>
        </w:rPr>
      </w:pPr>
      <w:r>
        <w:rPr>
          <w:rFonts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ascii="Arial Narrow" w:hAnsi="Arial Narrow"/>
          <w:sz w:val="22"/>
          <w:u w:val="single"/>
        </w:rPr>
        <w:t>and</w:t>
      </w:r>
      <w:r>
        <w:rPr>
          <w:rFonts w:ascii="Arial Narrow" w:hAnsi="Arial Narrow"/>
          <w:sz w:val="22"/>
        </w:rPr>
        <w:t xml:space="preserve"> (ii)</w:t>
      </w:r>
      <w:r>
        <w:rPr>
          <w:rFonts w:ascii="Arial Narrow" w:hAnsi="Arial Narrow"/>
          <w:color w:val="FF00FF"/>
          <w:sz w:val="22"/>
        </w:rPr>
        <w:t xml:space="preserve"> </w:t>
      </w:r>
      <w:r>
        <w:rPr>
          <w:rFonts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bidi w:val="0"/>
        <w:spacing w:lineRule="auto" w:line="240"/>
        <w:ind w:firstLine="720"/>
        <w:rPr>
          <w:rFonts w:ascii="Arial Narrow" w:hAnsi="Arial Narrow"/>
          <w:sz w:val="22"/>
        </w:rPr>
      </w:pPr>
      <w:r>
        <w:rPr>
          <w:rFonts w:ascii="Arial Narrow" w:hAnsi="Arial Narrow"/>
          <w:sz w:val="22"/>
        </w:rPr>
      </w:r>
    </w:p>
    <w:p>
      <w:pPr>
        <w:pStyle w:val="Expanded"/>
        <w:keepNext w:val="true"/>
        <w:bidi w:val="0"/>
        <w:spacing w:lineRule="auto" w:line="240" w:before="0" w:after="0"/>
        <w:rPr>
          <w:rFonts w:ascii="Arial Narrow" w:hAnsi="Arial Narrow"/>
          <w:sz w:val="22"/>
        </w:rPr>
      </w:pPr>
      <w:r>
        <w:rPr>
          <w:rFonts w:ascii="Arial Narrow" w:hAnsi="Arial Narrow"/>
          <w:sz w:val="22"/>
        </w:rPr>
        <w:t>5.    BREACH OF OBLIGATIONS AND REMEDIES.</w:t>
      </w:r>
    </w:p>
    <w:p>
      <w:pPr>
        <w:pStyle w:val="Normal"/>
        <w:bidi w:val="0"/>
        <w:spacing w:lineRule="atLeast" w:line="240"/>
        <w:rPr/>
      </w:pPr>
      <w:r>
        <w:rPr/>
      </w:r>
    </w:p>
    <w:p>
      <w:pPr>
        <w:pStyle w:val="Normal"/>
        <w:bidi w:val="0"/>
        <w:spacing w:lineRule="auto" w:line="240"/>
        <w:ind w:firstLine="720"/>
        <w:rPr>
          <w:rFonts w:ascii="Arial Narrow" w:hAnsi="Arial Narrow"/>
          <w:sz w:val="22"/>
        </w:rPr>
      </w:pPr>
      <w:r>
        <w:rPr>
          <w:rFonts w:ascii="Arial Narrow" w:hAnsi="Arial Narrow"/>
          <w:sz w:val="22"/>
        </w:rPr>
        <w:t xml:space="preserve">a.    </w:t>
      </w:r>
      <w:r>
        <w:rPr>
          <w:rFonts w:ascii="Arial Narrow" w:hAnsi="Arial Narrow"/>
          <w:sz w:val="22"/>
          <w:u w:val="single"/>
        </w:rPr>
        <w:t>Breach by Seller</w:t>
      </w:r>
      <w:r>
        <w:rPr>
          <w:rFonts w:ascii="Arial Narrow" w:hAnsi="Arial Narrow"/>
          <w:sz w:val="22"/>
        </w:rPr>
        <w:t xml:space="preserve">.    If Seller’s failure to perform obligations </w:t>
      </w:r>
      <w:r>
        <w:rPr>
          <w:rFonts w:ascii="Arial Narrow" w:hAnsi="Arial Narrow"/>
          <w:strike/>
          <w:sz w:val="22"/>
        </w:rPr>
        <w:t>or breach of any representation or warranty</w:t>
      </w:r>
      <w:r>
        <w:rPr>
          <w:rFonts w:ascii="Arial Narrow" w:hAnsi="Arial Narrow"/>
          <w:sz w:val="22"/>
        </w:rPr>
        <w:t xml:space="preserve"> relative to a Transaction in accordance with Section 2 of this GTC causes Buyer to fail to be awarded the Daily Contract Capacity in accordance with the terms of the applicable Transaction </w:t>
      </w:r>
      <w:r>
        <w:rPr>
          <w:rFonts w:ascii="Arial Narrow" w:hAnsi="Arial Narrow"/>
          <w:b/>
          <w:sz w:val="22"/>
          <w:u w:val="single"/>
        </w:rPr>
        <w:t>or if Seller breaches any representation or warranty set forth in Section 2 of this GTC</w:t>
      </w:r>
      <w:r>
        <w:rPr>
          <w:rFonts w:ascii="Arial Narrow" w:hAnsi="Arial Narrow"/>
          <w:sz w:val="22"/>
        </w:rPr>
        <w:t xml:space="preserve">, for each Day that Buyer is unable to utilize the Daily Contract Capacity </w:t>
      </w:r>
      <w:r>
        <w:rPr>
          <w:rFonts w:ascii="Arial Narrow" w:hAnsi="Arial Narrow"/>
          <w:b/>
          <w:sz w:val="22"/>
          <w:u w:val="single"/>
        </w:rPr>
        <w:t>in accordance with the terms of the Transaction</w:t>
      </w:r>
      <w:r>
        <w:rPr>
          <w:rFonts w:ascii="Arial Narrow" w:hAnsi="Arial Narrow"/>
          <w:sz w:val="22"/>
        </w:rPr>
        <w:t xml:space="preserve"> due to Seller’s failure </w:t>
      </w:r>
      <w:r>
        <w:rPr>
          <w:rFonts w:ascii="Arial Narrow" w:hAnsi="Arial Narrow"/>
          <w:b/>
          <w:sz w:val="22"/>
          <w:u w:val="single"/>
        </w:rPr>
        <w:t>or breach</w:t>
      </w:r>
      <w:r>
        <w:rPr>
          <w:rFonts w:ascii="Arial Narrow" w:hAnsi="Arial Narrow"/>
          <w:sz w:val="22"/>
        </w:rPr>
        <w:t xml:space="preserve">, Seller shall be liable to Buyer for damages equal to, the product of (i) the Daily Contract Capacity (in MMBtu) </w:t>
      </w:r>
      <w:r>
        <w:rPr>
          <w:rFonts w:ascii="Arial Narrow" w:hAnsi="Arial Narrow"/>
          <w:sz w:val="22"/>
          <w:u w:val="single"/>
        </w:rPr>
        <w:t>times</w:t>
      </w:r>
      <w:r>
        <w:rPr>
          <w:rFonts w:ascii="Arial Narrow" w:hAnsi="Arial Narrow"/>
          <w:sz w:val="22"/>
        </w:rPr>
        <w:t xml:space="preserve"> (ii) the difference between the Gas Daily mid-point price applicable to the Delivery Location under the Transaction </w:t>
      </w:r>
      <w:r>
        <w:rPr>
          <w:rFonts w:ascii="Arial Narrow" w:hAnsi="Arial Narrow"/>
          <w:sz w:val="22"/>
          <w:u w:val="single"/>
        </w:rPr>
        <w:t>minus</w:t>
      </w:r>
      <w:r>
        <w:rPr>
          <w:rFonts w:ascii="Arial Narrow" w:hAnsi="Arial Narrow"/>
          <w:sz w:val="22"/>
        </w:rPr>
        <w:t xml:space="preserve"> the specified Gas Daily mid-point price applicable</w:t>
      </w:r>
      <w:r>
        <w:rPr>
          <w:rFonts w:ascii="Arial Narrow" w:hAnsi="Arial Narrow"/>
          <w:color w:val="FF00FF"/>
          <w:sz w:val="22"/>
        </w:rPr>
        <w:t xml:space="preserve"> </w:t>
      </w:r>
      <w:r>
        <w:rPr>
          <w:rFonts w:ascii="Arial Narrow" w:hAnsi="Arial Narrow"/>
          <w:sz w:val="22"/>
        </w:rPr>
        <w:t xml:space="preserve">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w:t>
      </w:r>
      <w:r>
        <w:rPr>
          <w:rFonts w:ascii="Arial Narrow" w:hAnsi="Arial Narrow"/>
          <w:b/>
          <w:sz w:val="22"/>
          <w:u w:val="single"/>
        </w:rPr>
        <w:t>or if Seller breaches any representation or warranty set forth in Section 2 of this GTC</w:t>
      </w:r>
      <w:r>
        <w:rPr>
          <w:rFonts w:ascii="Arial Narrow" w:hAnsi="Arial Narrow"/>
          <w:sz w:val="22"/>
        </w:rPr>
        <w:t xml:space="preserve"> and fails to cure such failure </w:t>
      </w:r>
      <w:r>
        <w:rPr>
          <w:rFonts w:ascii="Arial Narrow" w:hAnsi="Arial Narrow"/>
          <w:b/>
          <w:sz w:val="22"/>
          <w:u w:val="single"/>
        </w:rPr>
        <w:t>or breach</w:t>
      </w:r>
      <w:r>
        <w:rPr>
          <w:rFonts w:ascii="Arial Narrow" w:hAnsi="Arial Narrow"/>
          <w:sz w:val="22"/>
        </w:rPr>
        <w:t xml:space="preserve"> within three (3) days after notice by Buyer </w:t>
      </w:r>
      <w:r>
        <w:rPr>
          <w:rFonts w:ascii="Arial Narrow" w:hAnsi="Arial Narrow"/>
          <w:strike/>
          <w:sz w:val="22"/>
        </w:rPr>
        <w:t>of such failure</w:t>
      </w:r>
      <w:r>
        <w:rPr>
          <w:rFonts w:ascii="Arial Narrow" w:hAnsi="Arial Narrow"/>
          <w:sz w:val="22"/>
        </w:rPr>
        <w:t xml:space="preserve"> </w:t>
      </w:r>
      <w:r>
        <w:rPr>
          <w:rFonts w:ascii="Arial Narrow" w:hAnsi="Arial Narrow"/>
          <w:b/>
          <w:sz w:val="22"/>
          <w:u w:val="single"/>
        </w:rPr>
        <w:t>to Seller thereof</w:t>
      </w:r>
      <w:r>
        <w:rPr>
          <w:rFonts w:ascii="Arial Narrow" w:hAnsi="Arial Narrow"/>
          <w:sz w:val="22"/>
        </w:rPr>
        <w:t>,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ascii="Arial Narrow" w:hAnsi="Arial Narrow"/>
          <w:color w:val="FF00FF"/>
          <w:sz w:val="22"/>
        </w:rPr>
        <w:t xml:space="preserve"> </w:t>
      </w:r>
      <w:r>
        <w:rPr>
          <w:rFonts w:ascii="Arial Narrow" w:hAnsi="Arial Narrow"/>
          <w:sz w:val="22"/>
        </w:rPr>
        <w:t>in accordance with this Section 5a above.    The Buyer Termination Payment shall be paid by Seller to Buyer within 20 days of Seller’s receipt of Buyer’s invoice thereof.</w:t>
      </w:r>
    </w:p>
    <w:p>
      <w:pPr>
        <w:pStyle w:val="Normal"/>
        <w:bidi w:val="0"/>
        <w:spacing w:lineRule="auto" w:line="240"/>
        <w:ind w:firstLine="720"/>
        <w:rPr>
          <w:rFonts w:ascii="Arial Narrow" w:hAnsi="Arial Narrow"/>
          <w:sz w:val="22"/>
        </w:rPr>
      </w:pPr>
      <w:r>
        <w:rPr>
          <w:rFonts w:ascii="Arial Narrow" w:hAnsi="Arial Narrow"/>
          <w:sz w:val="22"/>
        </w:rPr>
      </w:r>
    </w:p>
    <w:p>
      <w:pPr>
        <w:pStyle w:val="Normal"/>
        <w:bidi w:val="0"/>
        <w:spacing w:lineRule="auto" w:line="240"/>
        <w:ind w:firstLine="720"/>
        <w:rPr>
          <w:rFonts w:ascii="Arial Narrow" w:hAnsi="Arial Narrow"/>
          <w:sz w:val="22"/>
        </w:rPr>
      </w:pPr>
      <w:r>
        <w:rPr>
          <w:rFonts w:ascii="Arial Narrow" w:hAnsi="Arial Narrow"/>
          <w:sz w:val="22"/>
        </w:rPr>
        <w:t xml:space="preserve">b.    </w:t>
      </w:r>
      <w:r>
        <w:rPr>
          <w:rFonts w:ascii="Arial Narrow" w:hAnsi="Arial Narrow"/>
          <w:sz w:val="22"/>
          <w:u w:val="single"/>
        </w:rPr>
        <w:t>Breach by Buyer</w:t>
      </w:r>
      <w:r>
        <w:rPr>
          <w:rFonts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ascii="Arial Narrow" w:hAnsi="Arial Narrow"/>
          <w:sz w:val="22"/>
          <w:u w:val="single"/>
        </w:rPr>
        <w:t>times</w:t>
      </w:r>
      <w:r>
        <w:rPr>
          <w:rFonts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ascii="Arial Narrow" w:hAnsi="Arial Narrow"/>
          <w:color w:val="FF00FF"/>
          <w:sz w:val="22"/>
        </w:rPr>
        <w:t xml:space="preserve"> </w:t>
      </w:r>
      <w:r>
        <w:rPr>
          <w:rFonts w:ascii="Arial Narrow" w:hAnsi="Arial Narrow"/>
          <w:sz w:val="22"/>
        </w:rPr>
        <w:t>in accordance with this Section 5b above.    The Seller Termination Payment shall be paid by Buyer to Seller within 20 days of Buyer’s receipt of Seller’s invoice thereof.</w:t>
      </w:r>
    </w:p>
    <w:p>
      <w:pPr>
        <w:pStyle w:val="Normal"/>
        <w:bidi w:val="0"/>
        <w:spacing w:lineRule="auto" w:line="240"/>
        <w:ind w:firstLine="720"/>
        <w:rPr>
          <w:rFonts w:ascii="Arial Narrow" w:hAnsi="Arial Narrow"/>
          <w:sz w:val="22"/>
        </w:rPr>
      </w:pPr>
      <w:r>
        <w:rPr>
          <w:rFonts w:ascii="Arial Narrow" w:hAnsi="Arial Narrow"/>
          <w:sz w:val="22"/>
        </w:rPr>
      </w:r>
    </w:p>
    <w:p>
      <w:pPr>
        <w:pStyle w:val="Normal"/>
        <w:bidi w:val="0"/>
        <w:spacing w:lineRule="auto" w:line="240"/>
        <w:ind w:firstLine="720"/>
        <w:rPr>
          <w:rFonts w:ascii="Arial Narrow" w:hAnsi="Arial Narrow"/>
          <w:sz w:val="22"/>
        </w:rPr>
      </w:pPr>
      <w:r>
        <w:rPr>
          <w:rFonts w:ascii="Arial Narrow" w:hAnsi="Arial Narrow"/>
          <w:sz w:val="22"/>
        </w:rPr>
        <w:t xml:space="preserve">c.    </w:t>
      </w:r>
      <w:r>
        <w:rPr>
          <w:rFonts w:ascii="Arial Narrow" w:hAnsi="Arial Narrow"/>
          <w:sz w:val="22"/>
          <w:u w:val="single"/>
        </w:rPr>
        <w:t>Netting</w:t>
      </w:r>
      <w:r>
        <w:rPr>
          <w:rFonts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bidi w:val="0"/>
        <w:spacing w:lineRule="auto" w:line="240"/>
        <w:ind w:firstLine="720"/>
        <w:rPr>
          <w:rFonts w:ascii="Arial Narrow" w:hAnsi="Arial Narrow"/>
          <w:sz w:val="22"/>
        </w:rPr>
      </w:pPr>
      <w:r>
        <w:rPr>
          <w:rFonts w:ascii="Arial Narrow" w:hAnsi="Arial Narrow"/>
          <w:sz w:val="22"/>
        </w:rPr>
      </w:r>
    </w:p>
    <w:p>
      <w:pPr>
        <w:pStyle w:val="Normal"/>
        <w:bidi w:val="0"/>
        <w:spacing w:lineRule="auto" w:line="240"/>
        <w:jc w:val="center"/>
        <w:rPr>
          <w:rFonts w:ascii="Arial Narrow" w:hAnsi="Arial Narrow"/>
          <w:b/>
          <w:sz w:val="22"/>
        </w:rPr>
      </w:pPr>
      <w:r>
        <w:rPr>
          <w:rFonts w:ascii="Arial Narrow" w:hAnsi="Arial Narrow"/>
          <w:b/>
          <w:sz w:val="22"/>
        </w:rPr>
        <w:t>6. INDEMNITY</w:t>
      </w:r>
    </w:p>
    <w:p>
      <w:pPr>
        <w:pStyle w:val="Normal"/>
        <w:bidi w:val="0"/>
        <w:spacing w:lineRule="auto" w:line="240"/>
        <w:ind w:firstLine="720"/>
        <w:jc w:val="center"/>
        <w:rPr>
          <w:rFonts w:ascii="Arial Narrow" w:hAnsi="Arial Narrow"/>
          <w:b/>
          <w:sz w:val="22"/>
        </w:rPr>
      </w:pPr>
      <w:r>
        <w:rPr>
          <w:rFonts w:ascii="Arial Narrow" w:hAnsi="Arial Narrow"/>
          <w:b/>
          <w:sz w:val="22"/>
        </w:rPr>
      </w:r>
    </w:p>
    <w:p>
      <w:pPr>
        <w:pStyle w:val="BodyTextIndent3"/>
        <w:widowControl w:val="false"/>
        <w:bidi w:val="0"/>
        <w:spacing w:lineRule="atLeast" w:line="240" w:before="0" w:after="0"/>
        <w:rPr>
          <w:b/>
        </w:rPr>
      </w:pPr>
      <w:r>
        <w:rPr>
          <w:b/>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olor w:val="FF00FF"/>
        </w:rPr>
        <w:t xml:space="preserve"> </w:t>
      </w:r>
      <w:r>
        <w:rPr>
          <w:b/>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bidi w:val="0"/>
        <w:spacing w:lineRule="auto" w:line="240"/>
        <w:ind w:firstLine="720"/>
        <w:rPr>
          <w:rFonts w:ascii="Arial Narrow" w:hAnsi="Arial Narrow"/>
          <w:sz w:val="22"/>
        </w:rPr>
      </w:pPr>
      <w:r>
        <w:rPr>
          <w:rFonts w:ascii="Arial Narrow" w:hAnsi="Arial Narrow"/>
          <w:sz w:val="22"/>
        </w:rPr>
      </w:r>
    </w:p>
    <w:p>
      <w:pPr>
        <w:pStyle w:val="Normal"/>
        <w:bidi w:val="0"/>
        <w:spacing w:lineRule="auto" w:line="240"/>
        <w:ind w:firstLine="720"/>
        <w:jc w:val="center"/>
        <w:rPr>
          <w:rFonts w:ascii="Arial Narrow" w:hAnsi="Arial Narrow"/>
          <w:b/>
          <w:sz w:val="22"/>
        </w:rPr>
      </w:pPr>
      <w:r>
        <w:rPr>
          <w:rFonts w:ascii="Arial Narrow" w:hAnsi="Arial Narrow"/>
          <w:b/>
          <w:sz w:val="22"/>
        </w:rPr>
        <w:t>7.    COLLATERAL ARRANGEMENTS AND LATE PAYMENT</w:t>
      </w:r>
    </w:p>
    <w:p>
      <w:pPr>
        <w:pStyle w:val="Normal"/>
        <w:bidi w:val="0"/>
        <w:spacing w:lineRule="auto" w:line="240"/>
        <w:ind w:firstLine="720"/>
        <w:rPr>
          <w:rFonts w:ascii="Arial Narrow" w:hAnsi="Arial Narrow"/>
          <w:i/>
          <w:i/>
          <w:sz w:val="22"/>
        </w:rPr>
      </w:pPr>
      <w:r>
        <w:rPr>
          <w:rFonts w:ascii="Arial Narrow" w:hAnsi="Arial Narrow"/>
          <w:i/>
          <w:sz w:val="22"/>
        </w:rPr>
      </w:r>
    </w:p>
    <w:p>
      <w:pPr>
        <w:pStyle w:val="BodyTextIndent3"/>
        <w:bidi w:val="0"/>
        <w:spacing w:lineRule="auto" w:line="240" w:before="0" w:after="0"/>
        <w:rPr/>
      </w:pPr>
      <w:r>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bidi w:val="0"/>
        <w:spacing w:lineRule="auto" w:line="240"/>
        <w:ind w:firstLine="720"/>
        <w:rPr>
          <w:rFonts w:ascii="Arial Narrow" w:hAnsi="Arial Narrow"/>
          <w:sz w:val="22"/>
        </w:rPr>
      </w:pPr>
      <w:r>
        <w:rPr>
          <w:rFonts w:ascii="Arial Narrow" w:hAnsi="Arial Narrow"/>
          <w:sz w:val="22"/>
        </w:rPr>
        <w:t xml:space="preserve"> </w:t>
      </w:r>
    </w:p>
    <w:p>
      <w:pPr>
        <w:pStyle w:val="Expanded"/>
        <w:keepNext w:val="true"/>
        <w:bidi w:val="0"/>
        <w:spacing w:lineRule="auto" w:line="240" w:before="0" w:after="0"/>
        <w:rPr>
          <w:rFonts w:ascii="Arial Narrow" w:hAnsi="Arial Narrow"/>
          <w:sz w:val="22"/>
        </w:rPr>
      </w:pPr>
      <w:r>
        <w:rPr>
          <w:rFonts w:ascii="Arial Narrow" w:hAnsi="Arial Narrow"/>
          <w:sz w:val="22"/>
        </w:rPr>
        <w:t>8.    APPLICABLE LAW</w:t>
      </w:r>
    </w:p>
    <w:p>
      <w:pPr>
        <w:pStyle w:val="Normal"/>
        <w:bidi w:val="0"/>
        <w:spacing w:lineRule="atLeast" w:line="240"/>
        <w:rPr/>
      </w:pPr>
      <w:r>
        <w:rPr/>
      </w:r>
    </w:p>
    <w:p>
      <w:pPr>
        <w:pStyle w:val="Normal"/>
        <w:bidi w:val="0"/>
        <w:spacing w:lineRule="auto" w:line="240"/>
        <w:ind w:firstLine="720"/>
        <w:rPr>
          <w:rFonts w:ascii="Arial Narrow" w:hAnsi="Arial Narrow"/>
          <w:sz w:val="22"/>
        </w:rPr>
      </w:pPr>
      <w:r>
        <w:rPr>
          <w:rFonts w:ascii="Arial Narrow" w:hAnsi="Arial Narrow"/>
          <w:sz w:val="22"/>
        </w:rPr>
        <w:t>THIS GTC SHALL BE INTERPRETED, CONSTRUED AND GOVERNED BY THE LAWS OF THE STATE OF TEXAS EXCLUDING, HOWEVER, ANY CONFLICT OF LAWS RULE WHICH WOULD APPLY THE LAW OF ANOTHER JURISDICTION.</w:t>
      </w:r>
    </w:p>
    <w:p>
      <w:pPr>
        <w:pStyle w:val="Normal"/>
        <w:bidi w:val="0"/>
        <w:spacing w:lineRule="auto" w:line="240"/>
        <w:ind w:firstLine="720"/>
        <w:rPr>
          <w:rFonts w:ascii="Arial Narrow" w:hAnsi="Arial Narrow"/>
          <w:sz w:val="22"/>
        </w:rPr>
      </w:pPr>
      <w:r>
        <w:rPr>
          <w:rFonts w:ascii="Arial Narrow" w:hAnsi="Arial Narrow"/>
          <w:sz w:val="22"/>
        </w:rPr>
      </w:r>
    </w:p>
    <w:p>
      <w:pPr>
        <w:pStyle w:val="Expanded"/>
        <w:bidi w:val="0"/>
        <w:spacing w:lineRule="auto" w:line="240" w:before="0" w:after="0"/>
        <w:rPr>
          <w:rFonts w:ascii="Arial Narrow" w:hAnsi="Arial Narrow"/>
          <w:sz w:val="22"/>
        </w:rPr>
      </w:pPr>
      <w:r>
        <w:rPr>
          <w:rFonts w:ascii="Arial Narrow" w:hAnsi="Arial Narrow"/>
          <w:sz w:val="22"/>
        </w:rPr>
        <w:t>9.    ARBITRATION</w:t>
      </w:r>
    </w:p>
    <w:p>
      <w:pPr>
        <w:pStyle w:val="Normal"/>
        <w:bidi w:val="0"/>
        <w:spacing w:lineRule="atLeast" w:line="240"/>
        <w:rPr/>
      </w:pPr>
      <w:r>
        <w:rPr/>
      </w:r>
    </w:p>
    <w:p>
      <w:pPr>
        <w:pStyle w:val="Normal"/>
        <w:bidi w:val="0"/>
        <w:spacing w:lineRule="auto" w:line="240"/>
        <w:ind w:firstLine="720"/>
        <w:rPr>
          <w:rFonts w:ascii="Arial Narrow" w:hAnsi="Arial Narrow"/>
          <w:color w:val="000000"/>
          <w:sz w:val="22"/>
        </w:rPr>
      </w:pPr>
      <w:r>
        <w:rPr>
          <w:rFonts w:ascii="Arial Narrow" w:hAnsi="Arial Narrow"/>
          <w:sz w:val="22"/>
        </w:rPr>
        <w:t>Any</w:t>
      </w:r>
      <w:r>
        <w:rPr>
          <w:rFonts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bidi w:val="0"/>
        <w:spacing w:lineRule="auto" w:line="240"/>
        <w:ind w:firstLine="720"/>
        <w:rPr>
          <w:rFonts w:ascii="Arial Narrow" w:hAnsi="Arial Narrow"/>
          <w:color w:val="000000"/>
          <w:sz w:val="22"/>
        </w:rPr>
      </w:pPr>
      <w:r>
        <w:rPr>
          <w:rFonts w:ascii="Arial Narrow" w:hAnsi="Arial Narrow"/>
          <w:color w:val="000000"/>
          <w:sz w:val="22"/>
        </w:rPr>
      </w:r>
    </w:p>
    <w:p>
      <w:pPr>
        <w:pStyle w:val="Normal"/>
        <w:keepNext w:val="true"/>
        <w:bidi w:val="0"/>
        <w:spacing w:lineRule="auto" w:line="240"/>
        <w:jc w:val="center"/>
        <w:rPr>
          <w:rFonts w:ascii="Arial Narrow" w:hAnsi="Arial Narrow"/>
          <w:b/>
          <w:sz w:val="22"/>
        </w:rPr>
      </w:pPr>
      <w:r>
        <w:rPr>
          <w:rFonts w:ascii="Arial Narrow" w:hAnsi="Arial Narrow"/>
          <w:b/>
          <w:sz w:val="22"/>
        </w:rPr>
        <w:t>10.    GOVERNMENTAL REGULATIONS</w:t>
      </w:r>
    </w:p>
    <w:p>
      <w:pPr>
        <w:pStyle w:val="Normal"/>
        <w:keepNext w:val="true"/>
        <w:bidi w:val="0"/>
        <w:spacing w:lineRule="auto" w:line="240"/>
        <w:jc w:val="center"/>
        <w:rPr>
          <w:rFonts w:ascii="Arial Narrow" w:hAnsi="Arial Narrow"/>
          <w:b/>
          <w:sz w:val="22"/>
        </w:rPr>
      </w:pPr>
      <w:r>
        <w:rPr>
          <w:rFonts w:ascii="Arial Narrow" w:hAnsi="Arial Narrow"/>
          <w:b/>
          <w:sz w:val="22"/>
        </w:rPr>
      </w:r>
    </w:p>
    <w:p>
      <w:pPr>
        <w:pStyle w:val="Normal"/>
        <w:bidi w:val="0"/>
        <w:spacing w:lineRule="auto" w:line="240"/>
        <w:ind w:firstLine="720"/>
        <w:rPr>
          <w:rFonts w:ascii="Arial Narrow" w:hAnsi="Arial Narrow"/>
          <w:sz w:val="22"/>
        </w:rPr>
      </w:pPr>
      <w:r>
        <w:rPr>
          <w:rFonts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bidi w:val="0"/>
        <w:spacing w:lineRule="auto" w:line="240"/>
        <w:ind w:firstLine="720"/>
        <w:rPr>
          <w:rFonts w:ascii="Arial Narrow" w:hAnsi="Arial Narrow"/>
          <w:sz w:val="22"/>
        </w:rPr>
      </w:pPr>
      <w:r>
        <w:rPr>
          <w:rFonts w:ascii="Arial Narrow" w:hAnsi="Arial Narrow"/>
          <w:sz w:val="22"/>
        </w:rPr>
      </w:r>
    </w:p>
    <w:p>
      <w:pPr>
        <w:pStyle w:val="Normal"/>
        <w:keepNext w:val="true"/>
        <w:bidi w:val="0"/>
        <w:spacing w:lineRule="auto" w:line="240"/>
        <w:jc w:val="center"/>
        <w:rPr>
          <w:rFonts w:ascii="Arial Narrow" w:hAnsi="Arial Narrow"/>
          <w:b/>
          <w:sz w:val="22"/>
        </w:rPr>
      </w:pPr>
      <w:r>
        <w:rPr>
          <w:rFonts w:ascii="Arial Narrow" w:hAnsi="Arial Narrow"/>
          <w:b/>
          <w:sz w:val="22"/>
        </w:rPr>
        <w:t>11.    DAMAGES</w:t>
      </w:r>
    </w:p>
    <w:p>
      <w:pPr>
        <w:pStyle w:val="Normal"/>
        <w:keepNext w:val="true"/>
        <w:bidi w:val="0"/>
        <w:spacing w:lineRule="auto" w:line="240"/>
        <w:jc w:val="center"/>
        <w:rPr>
          <w:rFonts w:ascii="Arial Narrow" w:hAnsi="Arial Narrow"/>
          <w:b/>
          <w:sz w:val="22"/>
        </w:rPr>
      </w:pPr>
      <w:r>
        <w:rPr>
          <w:rFonts w:ascii="Arial Narrow" w:hAnsi="Arial Narrow"/>
          <w:b/>
          <w:sz w:val="22"/>
        </w:rPr>
      </w:r>
    </w:p>
    <w:p>
      <w:pPr>
        <w:pStyle w:val="BodyTextIndent3"/>
        <w:bidi w:val="0"/>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bidi w:val="0"/>
        <w:spacing w:lineRule="auto" w:line="240" w:before="0" w:after="0"/>
        <w:rPr/>
      </w:pPr>
      <w:r>
        <w:rPr/>
      </w:r>
    </w:p>
    <w:p>
      <w:pPr>
        <w:pStyle w:val="Normal"/>
        <w:bidi w:val="0"/>
        <w:spacing w:lineRule="auto" w:line="240"/>
        <w:jc w:val="center"/>
        <w:rPr>
          <w:rFonts w:ascii="Arial Narrow" w:hAnsi="Arial Narrow"/>
          <w:b/>
          <w:sz w:val="22"/>
        </w:rPr>
      </w:pPr>
      <w:r>
        <w:rPr>
          <w:rFonts w:ascii="Arial Narrow" w:hAnsi="Arial Narrow"/>
          <w:b/>
          <w:sz w:val="22"/>
        </w:rPr>
        <w:t>12.    DEFINITIONS</w:t>
      </w:r>
    </w:p>
    <w:p>
      <w:pPr>
        <w:pStyle w:val="Normal"/>
        <w:bidi w:val="0"/>
        <w:spacing w:lineRule="auto" w:line="240"/>
        <w:jc w:val="center"/>
        <w:rPr>
          <w:rFonts w:ascii="Arial Narrow" w:hAnsi="Arial Narrow"/>
          <w:b/>
          <w:sz w:val="22"/>
        </w:rPr>
      </w:pPr>
      <w:r>
        <w:rPr>
          <w:rFonts w:ascii="Arial Narrow" w:hAnsi="Arial Narrow"/>
          <w:b/>
          <w:sz w:val="22"/>
        </w:rPr>
      </w:r>
    </w:p>
    <w:p>
      <w:pPr>
        <w:pStyle w:val="Normal"/>
        <w:bidi w:val="0"/>
        <w:spacing w:lineRule="auto" w:line="240"/>
        <w:ind w:firstLine="720"/>
        <w:rPr>
          <w:rFonts w:ascii="Arial Narrow" w:hAnsi="Arial Narrow"/>
          <w:sz w:val="22"/>
        </w:rPr>
      </w:pPr>
      <w:r>
        <w:rPr>
          <w:rFonts w:ascii="Arial Narrow" w:hAnsi="Arial Narrow"/>
          <w:sz w:val="22"/>
        </w:rPr>
        <w:t>The following definitions shall apply to this GTC:</w:t>
      </w:r>
    </w:p>
    <w:p>
      <w:pPr>
        <w:pStyle w:val="Normal"/>
        <w:bidi w:val="0"/>
        <w:spacing w:lineRule="auto" w:line="240"/>
        <w:ind w:firstLine="720"/>
        <w:rPr>
          <w:rFonts w:ascii="Arial Narrow" w:hAnsi="Arial Narrow"/>
          <w:sz w:val="22"/>
        </w:rPr>
      </w:pPr>
      <w:r>
        <w:rPr>
          <w:rFonts w:ascii="Arial Narrow" w:hAnsi="Arial Narrow"/>
          <w:sz w:val="22"/>
        </w:rPr>
        <w:t>a.</w:t>
        <w:tab/>
      </w:r>
      <w:r>
        <w:rPr>
          <w:rFonts w:ascii="Arial Narrow" w:hAnsi="Arial Narrow"/>
          <w:sz w:val="22"/>
          <w:u w:val="single"/>
        </w:rPr>
        <w:t>Day</w:t>
      </w:r>
      <w:r>
        <w:rPr>
          <w:rFonts w:ascii="Arial Narrow" w:hAnsi="Arial Narrow"/>
          <w:sz w:val="22"/>
        </w:rPr>
        <w:t>.    The term "Day" shall mean a period of time beginning at 9:00 a.m. Central Standard Time on each calendar day and ending at 9:00 a.m. Central Standard Time on the next succeeding calendar day.</w:t>
      </w:r>
    </w:p>
    <w:p>
      <w:pPr>
        <w:pStyle w:val="Normal"/>
        <w:tabs>
          <w:tab w:val="clear" w:pos="720"/>
          <w:tab w:val="left" w:pos="1440" w:leader="none"/>
        </w:tabs>
        <w:bidi w:val="0"/>
        <w:spacing w:lineRule="auto" w:line="240"/>
        <w:ind w:hanging="720" w:start="1440"/>
        <w:rPr>
          <w:rFonts w:ascii="Arial Narrow" w:hAnsi="Arial Narrow"/>
          <w:sz w:val="22"/>
        </w:rPr>
      </w:pPr>
      <w:r>
        <w:rPr>
          <w:rFonts w:ascii="Arial Narrow" w:hAnsi="Arial Narrow"/>
          <w:sz w:val="22"/>
        </w:rPr>
        <w:t>b.</w:t>
        <w:tab/>
      </w:r>
      <w:r>
        <w:rPr>
          <w:rFonts w:ascii="Arial Narrow" w:hAnsi="Arial Narrow"/>
          <w:sz w:val="22"/>
          <w:u w:val="single"/>
        </w:rPr>
        <w:t>MMBtu</w:t>
      </w:r>
      <w:r>
        <w:rPr>
          <w:rFonts w:ascii="Arial Narrow" w:hAnsi="Arial Narrow"/>
          <w:sz w:val="22"/>
        </w:rPr>
        <w:t>.    The term "MMBtu" shall mean one million (1,000,000) British Thermal Units.</w:t>
      </w:r>
    </w:p>
    <w:p>
      <w:pPr>
        <w:pStyle w:val="Normal"/>
        <w:tabs>
          <w:tab w:val="clear" w:pos="720"/>
          <w:tab w:val="left" w:pos="1440" w:leader="none"/>
        </w:tabs>
        <w:bidi w:val="0"/>
        <w:spacing w:lineRule="auto" w:line="240"/>
        <w:ind w:hanging="720" w:start="1440"/>
        <w:rPr>
          <w:rFonts w:ascii="Arial Narrow" w:hAnsi="Arial Narrow"/>
          <w:sz w:val="22"/>
        </w:rPr>
      </w:pPr>
      <w:r>
        <w:rPr>
          <w:rFonts w:ascii="Arial Narrow" w:hAnsi="Arial Narrow"/>
          <w:sz w:val="22"/>
        </w:rPr>
        <w:t>c.</w:t>
        <w:tab/>
      </w:r>
      <w:r>
        <w:rPr>
          <w:rFonts w:ascii="Arial Narrow" w:hAnsi="Arial Narrow"/>
          <w:sz w:val="22"/>
          <w:u w:val="single"/>
        </w:rPr>
        <w:t>FERC</w:t>
      </w:r>
      <w:r>
        <w:rPr>
          <w:rFonts w:ascii="Arial Narrow" w:hAnsi="Arial Narrow"/>
          <w:sz w:val="22"/>
        </w:rPr>
        <w:t>.</w:t>
        <w:tab/>
        <w:t>The term “FERC” shall mean the Federal Energy Regulatory Commission.</w:t>
      </w:r>
    </w:p>
    <w:p>
      <w:pPr>
        <w:pStyle w:val="Normal"/>
        <w:bidi w:val="0"/>
        <w:spacing w:lineRule="auto" w:line="240"/>
        <w:ind w:firstLine="720"/>
        <w:rPr>
          <w:rFonts w:ascii="Arial Narrow" w:hAnsi="Arial Narrow"/>
          <w:sz w:val="20"/>
        </w:rPr>
      </w:pPr>
      <w:r>
        <w:rPr>
          <w:rFonts w:ascii="Arial Narrow" w:hAnsi="Arial Narrow"/>
          <w:sz w:val="20"/>
        </w:rPr>
      </w:r>
      <w:r>
        <w:br w:type="page"/>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REVISION LIST ----------------------</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The bracketed numbers refer to the Page and Paragraph for the start of the paragraph in both the old and the new documents.</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[1:6 1:6] Changed</w:t>
        <w:tab/>
        <w:t>"approval.    ...    “zone”, Seller" to "approval. Seller"</w:t>
      </w:r>
    </w:p>
    <w:p>
      <w:pPr>
        <w:pStyle w:val="Normal"/>
        <w:bidi w:val="0"/>
        <w:spacing w:lineRule="atLeast" w:line="240"/>
        <w:jc w:val="start"/>
        <w:rPr>
          <w:sz w:val="24"/>
        </w:rPr>
      </w:pPr>
      <w:r>
        <w:rPr>
          <w:sz w:val="24"/>
        </w:rPr>
        <w:t>[1:6 1:6] Changed</w:t>
        <w:tab/>
        <w:t>"Contract Price    ...    that “zone”." to "Transaction    ...    that zone."</w:t>
      </w:r>
    </w:p>
    <w:p>
      <w:pPr>
        <w:pStyle w:val="Normal"/>
        <w:bidi w:val="0"/>
        <w:spacing w:lineRule="atLeast" w:line="240"/>
        <w:jc w:val="start"/>
        <w:rPr>
          <w:sz w:val="24"/>
        </w:rPr>
      </w:pPr>
      <w:r>
        <w:rPr>
          <w:sz w:val="24"/>
        </w:rPr>
        <w:t>[1:12 1:12] Changed</w:t>
        <w:tab/>
        <w:t>"obligations    ...    warranty relative" to "obligations relative"</w:t>
      </w:r>
    </w:p>
    <w:p>
      <w:pPr>
        <w:pStyle w:val="Normal"/>
        <w:bidi w:val="0"/>
        <w:spacing w:lineRule="atLeast" w:line="240"/>
        <w:jc w:val="start"/>
        <w:rPr>
          <w:sz w:val="24"/>
        </w:rPr>
      </w:pPr>
      <w:r>
        <w:rPr>
          <w:sz w:val="24"/>
        </w:rPr>
        <w:t>[1:12 1:12] Changed</w:t>
        <w:tab/>
        <w:t>"Transaction," to "Transaction    ...    this GTC,"</w:t>
      </w:r>
    </w:p>
    <w:p>
      <w:pPr>
        <w:pStyle w:val="Normal"/>
        <w:bidi w:val="0"/>
        <w:spacing w:lineRule="atLeast" w:line="240"/>
        <w:jc w:val="start"/>
        <w:rPr>
          <w:sz w:val="24"/>
        </w:rPr>
      </w:pPr>
      <w:r>
        <w:rPr>
          <w:sz w:val="24"/>
        </w:rPr>
        <w:t>[1:12 1:12] Changed</w:t>
        <w:tab/>
        <w:t>"Capacity due" to "Capacity in    ...    Transaction due"</w:t>
      </w:r>
    </w:p>
    <w:p>
      <w:pPr>
        <w:pStyle w:val="Normal"/>
        <w:bidi w:val="0"/>
        <w:spacing w:lineRule="atLeast" w:line="240"/>
        <w:jc w:val="start"/>
        <w:rPr>
          <w:sz w:val="24"/>
        </w:rPr>
      </w:pPr>
      <w:r>
        <w:rPr>
          <w:sz w:val="24"/>
        </w:rPr>
        <w:t>[1:12 1:12] Changed</w:t>
        <w:tab/>
        <w:t>"Seller’s failure, Seller" to "Seller’s failure or breach, Seller"</w:t>
      </w:r>
    </w:p>
    <w:p>
      <w:pPr>
        <w:pStyle w:val="Normal"/>
        <w:bidi w:val="0"/>
        <w:spacing w:lineRule="atLeast" w:line="240"/>
        <w:jc w:val="start"/>
        <w:rPr>
          <w:sz w:val="24"/>
        </w:rPr>
      </w:pPr>
      <w:r>
        <w:rPr>
          <w:sz w:val="24"/>
        </w:rPr>
        <w:t>[1:12 1:12] Changed</w:t>
        <w:tab/>
        <w:t>"GTC and" to "GTC or if    ...    this GTC and"</w:t>
      </w:r>
    </w:p>
    <w:p>
      <w:pPr>
        <w:pStyle w:val="Normal"/>
        <w:bidi w:val="0"/>
        <w:spacing w:lineRule="atLeast" w:line="240"/>
        <w:jc w:val="start"/>
        <w:rPr>
          <w:sz w:val="24"/>
        </w:rPr>
      </w:pPr>
      <w:r>
        <w:rPr>
          <w:sz w:val="24"/>
        </w:rPr>
        <w:t>[1:12 1:12] Changed</w:t>
        <w:tab/>
        <w:t>"failure within" to "failure or breach within"</w:t>
      </w:r>
    </w:p>
    <w:p>
      <w:pPr>
        <w:pStyle w:val="Normal"/>
        <w:bidi w:val="0"/>
        <w:spacing w:lineRule="atLeast" w:line="240"/>
        <w:jc w:val="start"/>
        <w:rPr>
          <w:sz w:val="24"/>
        </w:rPr>
      </w:pPr>
      <w:r>
        <w:rPr>
          <w:sz w:val="24"/>
        </w:rPr>
        <w:t>[1:12 1:12] Changed</w:t>
        <w:tab/>
        <w:t>"of such failure" to "to Seller thereof"</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This redlined draft, generated by CompareRite (TM) - The Instant Redliner, shows the differences between - </w:t>
      </w:r>
    </w:p>
    <w:p>
      <w:pPr>
        <w:pStyle w:val="Normal"/>
        <w:bidi w:val="0"/>
        <w:spacing w:lineRule="atLeast" w:line="240"/>
        <w:jc w:val="start"/>
        <w:rPr>
          <w:sz w:val="24"/>
        </w:rPr>
      </w:pPr>
      <w:r>
        <w:rPr>
          <w:sz w:val="24"/>
        </w:rPr>
        <w:t>original document      : O:\LEGAL\GNEMEC\EOL\GTC FINAL 110800.DOC</w:t>
      </w:r>
    </w:p>
    <w:p>
      <w:pPr>
        <w:pStyle w:val="Normal"/>
        <w:bidi w:val="0"/>
        <w:spacing w:lineRule="atLeast" w:line="240"/>
        <w:jc w:val="start"/>
        <w:rPr>
          <w:sz w:val="24"/>
        </w:rPr>
      </w:pPr>
      <w:r>
        <w:rPr>
          <w:sz w:val="24"/>
        </w:rPr>
        <w:t>and revised document: O:\LEGAL\GNEMEC\EOL\GTC FINAL 110800A.DOC</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CompareRite found        9 change(s) in the text</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Deletions appear as Overstrike text </w:t>
      </w:r>
    </w:p>
    <w:p>
      <w:pPr>
        <w:pStyle w:val="Normal"/>
        <w:bidi w:val="0"/>
        <w:spacing w:lineRule="atLeast" w:line="240"/>
        <w:jc w:val="start"/>
        <w:rPr>
          <w:sz w:val="24"/>
        </w:rPr>
      </w:pPr>
      <w:r>
        <w:rPr>
          <w:sz w:val="24"/>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/mnt/main-storage/datasets/enron-docs/doc/GTC_FINAL_110800A_RED_.DOC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/mnt/main-storage/datasets/enron-docs/doc/GTC_FINAL_110800A_RED_.DOC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tLeast" w:line="240"/>
      <w:jc w:val="end"/>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tLeast" w:line="240"/>
      <w:jc w:val="end"/>
      <w:rPr>
        <w:rFonts w:ascii="Times New Roman" w:hAnsi="Times New Roman"/>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jc w:val="both"/>
    </w:pPr>
    <w:rPr>
      <w:rFonts w:ascii="Times New Roman" w:hAnsi="Times New Roman" w:eastAsia="Arial" w:cs="Arial Narrow"/>
      <w:color w:val="auto"/>
      <w:kern w:val="2"/>
      <w:sz w:val="26"/>
      <w:szCs w:val="24"/>
      <w:lang w:val="en-CA" w:eastAsia="zh-CN" w:bidi="hi-IN"/>
    </w:rPr>
  </w:style>
  <w:style w:type="paragraph" w:styleId="Heading1">
    <w:name w:val="heading 1"/>
    <w:basedOn w:val="Normal"/>
    <w:qFormat/>
    <w:pPr>
      <w:keepNext w:val="true"/>
      <w:widowControl w:val="false"/>
      <w:spacing w:lineRule="atLeast" w:line="240" w:before="240" w:after="240"/>
      <w:jc w:val="center"/>
    </w:pPr>
    <w:rPr>
      <w:b/>
      <w:caps/>
      <w:sz w:val="26"/>
    </w:rPr>
  </w:style>
  <w:style w:type="paragraph" w:styleId="Heading2">
    <w:name w:val="heading 2"/>
    <w:basedOn w:val="Normal"/>
    <w:qFormat/>
    <w:pPr>
      <w:widowControl w:val="false"/>
      <w:spacing w:lineRule="atLeast" w:line="240" w:before="0" w:after="120"/>
      <w:ind w:firstLine="720"/>
      <w:jc w:val="both"/>
    </w:pPr>
    <w:rPr>
      <w:sz w:val="26"/>
    </w:rPr>
  </w:style>
  <w:style w:type="paragraph" w:styleId="Heading3">
    <w:name w:val="heading 3"/>
    <w:basedOn w:val="Normal"/>
    <w:qFormat/>
    <w:pPr>
      <w:widowControl w:val="false"/>
      <w:spacing w:lineRule="atLeast" w:line="240" w:before="0" w:after="120"/>
      <w:ind w:hanging="0" w:start="1440" w:end="1440"/>
      <w:jc w:val="both"/>
    </w:pPr>
    <w:rPr>
      <w:sz w:val="26"/>
    </w:rPr>
  </w:style>
  <w:style w:type="paragraph" w:styleId="Heading4">
    <w:name w:val="heading 4"/>
    <w:basedOn w:val="Heading1"/>
    <w:qFormat/>
    <w:pPr>
      <w:keepNext w:val="true"/>
      <w:widowControl w:val="false"/>
      <w:spacing w:lineRule="atLeast" w:line="240" w:before="240" w:after="240"/>
      <w:ind w:hanging="0" w:start="1440" w:end="1440"/>
      <w:jc w:val="both"/>
    </w:pPr>
    <w:rPr>
      <w:sz w:val="26"/>
    </w:rPr>
  </w:style>
  <w:style w:type="paragraph" w:styleId="Heading5">
    <w:name w:val="heading 5"/>
    <w:basedOn w:val="Normal"/>
    <w:next w:val="Normal"/>
    <w:qFormat/>
    <w:pPr>
      <w:keepNext w:val="true"/>
      <w:spacing w:lineRule="atLeast" w:line="240"/>
      <w:jc w:val="center"/>
    </w:pPr>
    <w:rPr>
      <w:b/>
      <w:sz w:val="30"/>
    </w:rPr>
  </w:style>
  <w:style w:type="paragraph" w:styleId="Heading6">
    <w:name w:val="heading 6"/>
    <w:basedOn w:val="Normal"/>
    <w:qFormat/>
    <w:pPr>
      <w:widowControl w:val="false"/>
      <w:spacing w:lineRule="atLeast" w:line="240" w:before="0" w:after="120"/>
      <w:ind w:hanging="0" w:start="1440" w:end="1440"/>
      <w:jc w:val="both"/>
    </w:pPr>
    <w:rPr>
      <w:sz w:val="26"/>
    </w:rPr>
  </w:style>
  <w:style w:type="paragraph" w:styleId="Heading7">
    <w:name w:val="heading 7"/>
    <w:basedOn w:val="Normal"/>
    <w:qFormat/>
    <w:pPr>
      <w:widowControl w:val="false"/>
      <w:spacing w:lineRule="atLeast" w:line="240" w:before="0" w:after="120"/>
      <w:ind w:hanging="720" w:start="2880" w:end="2160"/>
      <w:jc w:val="both"/>
    </w:pPr>
    <w:rPr>
      <w:sz w:val="26"/>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lineRule="atLeast" w:line="240" w:before="0" w:after="120"/>
      <w:jc w:val="both"/>
    </w:pPr>
    <w:rPr>
      <w:sz w:val="26"/>
    </w:rPr>
  </w:style>
  <w:style w:type="paragraph" w:styleId="EndnoteText">
    <w:name w:val="endnote text"/>
    <w:basedOn w:val="Normal"/>
    <w:pPr>
      <w:widowControl w:val="false"/>
      <w:spacing w:lineRule="atLeast" w:line="240"/>
      <w:jc w:val="both"/>
    </w:pPr>
    <w:rPr>
      <w:sz w:val="20"/>
    </w:rPr>
  </w:style>
  <w:style w:type="paragraph" w:styleId="TOC7">
    <w:name w:val="toc 7"/>
    <w:basedOn w:val="Normal"/>
    <w:pPr>
      <w:widowControl w:val="false"/>
      <w:tabs>
        <w:tab w:val="clear" w:pos="720"/>
        <w:tab w:val="left" w:pos="8280" w:leader="dot"/>
        <w:tab w:val="right" w:pos="8640" w:leader="none"/>
      </w:tabs>
      <w:spacing w:lineRule="atLeast" w:line="240" w:before="0" w:after="240"/>
      <w:ind w:end="720"/>
      <w:jc w:val="both"/>
    </w:pPr>
    <w:rPr>
      <w:sz w:val="26"/>
    </w:rPr>
  </w:style>
  <w:style w:type="paragraph" w:styleId="TOC6">
    <w:name w:val="toc 6"/>
    <w:basedOn w:val="Normal"/>
    <w:pPr>
      <w:widowControl w:val="false"/>
      <w:tabs>
        <w:tab w:val="clear" w:pos="720"/>
        <w:tab w:val="left" w:pos="8280" w:leader="dot"/>
        <w:tab w:val="right" w:pos="8640" w:leader="none"/>
      </w:tabs>
      <w:spacing w:lineRule="atLeast" w:line="240" w:before="0" w:after="240"/>
      <w:ind w:end="720"/>
      <w:jc w:val="both"/>
    </w:pPr>
    <w:rPr>
      <w:sz w:val="26"/>
    </w:rPr>
  </w:style>
  <w:style w:type="paragraph" w:styleId="TOC4">
    <w:name w:val="toc 4"/>
    <w:basedOn w:val="Normal"/>
    <w:next w:val="Normal"/>
    <w:pPr>
      <w:widowControl w:val="false"/>
      <w:tabs>
        <w:tab w:val="clear" w:pos="720"/>
        <w:tab w:val="left" w:pos="8280" w:leader="dot"/>
        <w:tab w:val="right" w:pos="8640" w:leader="none"/>
      </w:tabs>
      <w:spacing w:lineRule="atLeast" w:line="240" w:before="0" w:after="240"/>
      <w:ind w:end="720"/>
      <w:jc w:val="both"/>
    </w:pPr>
    <w:rPr>
      <w:sz w:val="26"/>
    </w:rPr>
  </w:style>
  <w:style w:type="paragraph" w:styleId="TOC3">
    <w:name w:val="toc 3"/>
    <w:basedOn w:val="Normal"/>
    <w:next w:val="Normal"/>
    <w:pPr>
      <w:widowControl w:val="false"/>
      <w:tabs>
        <w:tab w:val="clear" w:pos="720"/>
        <w:tab w:val="left" w:pos="8280" w:leader="dot"/>
        <w:tab w:val="right" w:pos="8640" w:leader="none"/>
      </w:tabs>
      <w:spacing w:lineRule="atLeast" w:line="240" w:before="0" w:after="240"/>
      <w:ind w:end="720"/>
      <w:jc w:val="both"/>
    </w:pPr>
    <w:rPr>
      <w:sz w:val="26"/>
    </w:rPr>
  </w:style>
  <w:style w:type="paragraph" w:styleId="TOC2">
    <w:name w:val="toc 2"/>
    <w:basedOn w:val="Normal"/>
    <w:next w:val="Normal"/>
    <w:pPr>
      <w:widowControl w:val="false"/>
      <w:tabs>
        <w:tab w:val="clear" w:pos="720"/>
        <w:tab w:val="left" w:pos="8280" w:leader="dot"/>
        <w:tab w:val="right" w:pos="8640" w:leader="none"/>
      </w:tabs>
      <w:spacing w:lineRule="atLeast" w:line="240" w:before="0" w:after="240"/>
      <w:ind w:end="720"/>
      <w:jc w:val="both"/>
    </w:pPr>
    <w:rPr>
      <w:sz w:val="26"/>
    </w:rPr>
  </w:style>
  <w:style w:type="paragraph" w:styleId="TOC1">
    <w:name w:val="toc 1"/>
    <w:basedOn w:val="Normal"/>
    <w:next w:val="Normal"/>
    <w:pPr>
      <w:widowControl w:val="false"/>
      <w:tabs>
        <w:tab w:val="left" w:pos="720" w:leader="none"/>
        <w:tab w:val="left" w:pos="8280" w:leader="dot"/>
        <w:tab w:val="right" w:pos="8640" w:leader="none"/>
        <w:tab w:val="left" w:pos="9072" w:leader="dot"/>
      </w:tabs>
      <w:spacing w:lineRule="atLeast" w:line="360" w:before="0" w:after="240"/>
      <w:ind w:end="720"/>
    </w:pPr>
    <w:rPr>
      <w:caps/>
      <w:sz w:val="26"/>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atLeast" w:line="240"/>
      <w:jc w:val="both"/>
    </w:pPr>
    <w:rPr>
      <w:sz w:val="26"/>
    </w:rPr>
  </w:style>
  <w:style w:type="paragraph" w:styleId="Header">
    <w:name w:val="header"/>
    <w:basedOn w:val="Normal"/>
    <w:pPr>
      <w:widowControl w:val="false"/>
      <w:tabs>
        <w:tab w:val="clear" w:pos="720"/>
        <w:tab w:val="center" w:pos="4320" w:leader="none"/>
        <w:tab w:val="right" w:pos="8640" w:leader="none"/>
      </w:tabs>
      <w:spacing w:lineRule="atLeast" w:line="240"/>
      <w:jc w:val="both"/>
    </w:pPr>
    <w:rPr>
      <w:sz w:val="26"/>
    </w:rPr>
  </w:style>
  <w:style w:type="paragraph" w:styleId="FootnoteText">
    <w:name w:val="footnote text"/>
    <w:basedOn w:val="Normal"/>
    <w:pPr>
      <w:widowControl w:val="false"/>
      <w:spacing w:lineRule="atLeast" w:line="240"/>
      <w:jc w:val="both"/>
    </w:pPr>
    <w:rPr>
      <w:sz w:val="20"/>
    </w:rPr>
  </w:style>
  <w:style w:type="paragraph" w:styleId="NormalIndent">
    <w:name w:val="Normal Indent"/>
    <w:basedOn w:val="Normal"/>
    <w:qFormat/>
    <w:pPr>
      <w:widowControl w:val="false"/>
      <w:spacing w:lineRule="atLeast" w:line="240"/>
      <w:ind w:hanging="0" w:start="720"/>
      <w:jc w:val="both"/>
    </w:pPr>
    <w:rPr>
      <w:sz w:val="26"/>
    </w:rPr>
  </w:style>
  <w:style w:type="paragraph" w:styleId="Hidden">
    <w:name w:val="Hidden"/>
    <w:basedOn w:val="Normal"/>
    <w:next w:val="Normal"/>
    <w:qFormat/>
    <w:pPr>
      <w:widowControl w:val="false"/>
      <w:spacing w:lineRule="atLeast" w:line="240"/>
      <w:jc w:val="both"/>
    </w:pPr>
    <w:rPr>
      <w:vanish/>
      <w:color w:val="FF0000"/>
      <w:sz w:val="26"/>
    </w:rPr>
  </w:style>
  <w:style w:type="paragraph" w:styleId="Expanded">
    <w:name w:val="Expanded"/>
    <w:basedOn w:val="Normal"/>
    <w:next w:val="Normal"/>
    <w:qFormat/>
    <w:pPr>
      <w:widowControl w:val="false"/>
      <w:spacing w:lineRule="atLeast" w:line="240" w:before="0" w:after="240"/>
      <w:jc w:val="center"/>
    </w:pPr>
    <w:rPr>
      <w:b/>
      <w:caps/>
      <w:spacing w:val="60"/>
      <w:sz w:val="26"/>
    </w:rPr>
  </w:style>
  <w:style w:type="paragraph" w:styleId="BodyTextIndent">
    <w:name w:val="Body Text Indent"/>
    <w:basedOn w:val="Normal"/>
    <w:pPr>
      <w:spacing w:lineRule="atLeast" w:line="240"/>
      <w:ind w:firstLine="720"/>
      <w:jc w:val="both"/>
    </w:pPr>
    <w:rPr>
      <w:sz w:val="26"/>
    </w:rPr>
  </w:style>
  <w:style w:type="paragraph" w:styleId="BodyTextIndent2">
    <w:name w:val="Body Text Indent 2"/>
    <w:basedOn w:val="Normal"/>
    <w:qFormat/>
    <w:pPr>
      <w:spacing w:lineRule="atLeast" w:line="240" w:before="0" w:after="120"/>
      <w:ind w:firstLine="720"/>
      <w:jc w:val="both"/>
    </w:pPr>
    <w:rPr>
      <w:rFonts w:ascii="Arial" w:hAnsi="Arial"/>
      <w:sz w:val="18"/>
    </w:rPr>
  </w:style>
  <w:style w:type="paragraph" w:styleId="BodyTextIndent3">
    <w:name w:val="Body Text Indent 3"/>
    <w:basedOn w:val="Normal"/>
    <w:qFormat/>
    <w:pPr>
      <w:spacing w:lineRule="atLeast" w:line="240" w:before="0" w:after="120"/>
      <w:ind w:firstLine="720"/>
      <w:jc w:val="both"/>
    </w:pPr>
    <w:rPr>
      <w:rFonts w:ascii="Arial Narrow" w:hAnsi="Arial Narrow"/>
      <w:cap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2037</Words>
  <CharactersWithSpaces>11611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2000-11-08T14:09:00Z</dcterms:created>
  <dc:creator>ECT</dc:creator>
  <dc:description>THIS IS A FORM</dc:description>
  <dc:language>en-CA</dc:language>
  <cp:lastModifiedBy/>
  <cp:lastPrinted>2000-11-07T16:04:00Z</cp:lastPrinted>
  <dcterms:modified xsi:type="dcterms:W3CDTF">2000-11-08T14:46:00Z</dcterms:modified>
  <cp:revision>15</cp:revision>
  <dc:subject>HPL and _____________</dc:subject>
  <dc:title>Interruptible GTA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