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(Cooling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jc w:val="both"/>
        <w:rPr>
          <w:sz w:val="22"/>
        </w:rPr>
      </w:pPr>
      <w:r>
        <w:rPr>
          <w:b/>
          <w:sz w:val="22"/>
          <w:u w:val="single"/>
        </w:rPr>
        <w:t>Terms of Transaction</w:t>
      </w:r>
      <w:r>
        <w:rPr>
          <w:sz w:val="22"/>
        </w:rPr>
        <w:t xml:space="preserve">. </w:t>
      </w:r>
    </w:p>
    <w:p>
      <w:pPr>
        <w:pStyle w:val="Normal"/>
        <w:keepNext w:val="true"/>
        <w:spacing w:before="0" w:after="240"/>
        <w:jc w:val="both"/>
        <w:rPr/>
      </w:pPr>
      <w:r>
        <w:rPr>
          <w:b/>
          <w:sz w:val="22"/>
        </w:rPr>
        <w:t>Transaction Type</w:t>
      </w:r>
      <w:r>
        <w:rPr>
          <w:sz w:val="22"/>
        </w:rPr>
        <w:t>:  Cooling Degree Day (“CDD”) Swap.</w:t>
      </w:r>
    </w:p>
    <w:p>
      <w:pPr>
        <w:pStyle w:val="Normal"/>
        <w:keepNext w:val="true"/>
        <w:spacing w:before="0" w:after="240"/>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spacing w:before="0" w:after="240"/>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CDD for each day is equal to the greater of (i)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minus the Reference Basis or (ii) zero. </w:t>
      </w:r>
    </w:p>
    <w:p>
      <w:pPr>
        <w:pStyle w:val="BodyText"/>
        <w:rPr/>
      </w:pPr>
      <w:r>
        <w:rPr/>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sz w:val="22"/>
        </w:rPr>
      </w:pPr>
      <w:r>
        <w:rPr>
          <w:sz w:val="22"/>
        </w:rPr>
      </w:r>
    </w:p>
    <w:p>
      <w:pPr>
        <w:pStyle w:val="Normal"/>
        <w:jc w:val="both"/>
        <w:rPr/>
      </w:pPr>
      <w:r>
        <w:rPr>
          <w:b/>
          <w:sz w:val="22"/>
        </w:rPr>
        <w:t>Reporting Agency:</w:t>
      </w:r>
      <w:r>
        <w:rPr>
          <w:sz w:val="22"/>
        </w:rPr>
        <w:t xml:space="preserve"> National Climate Centre of the Reporting Service.</w:t>
      </w:r>
    </w:p>
    <w:p>
      <w:pPr>
        <w:pStyle w:val="Normal"/>
        <w:jc w:val="both"/>
        <w:rPr>
          <w:sz w:val="22"/>
        </w:rPr>
      </w:pPr>
      <w:r>
        <w:rPr>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 xml:space="preserve">In accordance with the above procedures, the daily maximum or daily minimum temperature as appropriate shall be determined for the corresponding day of each of the previous 30 years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jc w:val="both"/>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4"/>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color w:val="000000"/>
          <w:sz w:val="22"/>
          <w:lang w:eastAsia="en-US"/>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lineRule="auto" w:line="240" w:before="120" w:after="0"/>
        <w:ind w:hanging="720" w:start="72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ind w:hanging="720" w:start="720" w:end="0"/>
        <w:jc w:val="both"/>
        <w:rPr>
          <w:rFonts w:ascii="Times New Roman" w:hAnsi="Times New Roman" w:cs="Times New Roman"/>
          <w:sz w:val="22"/>
        </w:rPr>
      </w:pPr>
      <w:r>
        <w:rPr>
          <w:rFonts w:cs="Times New Roman"/>
          <w:sz w:val="22"/>
        </w:rPr>
      </w:r>
    </w:p>
    <w:p>
      <w:pPr>
        <w:pStyle w:val="Normal"/>
        <w:ind w:hanging="720" w:start="72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ind w:hanging="357" w:start="805" w:end="0"/>
        <w:jc w:val="both"/>
        <w:rPr>
          <w:sz w:val="22"/>
        </w:rPr>
      </w:pPr>
      <w:r>
        <w:rPr>
          <w:sz w:val="22"/>
        </w:rPr>
      </w:r>
    </w:p>
    <w:p>
      <w:pPr>
        <w:pStyle w:val="Normal"/>
        <w:numPr>
          <w:ilvl w:val="0"/>
          <w:numId w:val="3"/>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numPr>
          <w:ilvl w:val="0"/>
          <w:numId w:val="9"/>
        </w:numPr>
        <w:spacing w:before="0" w:after="0"/>
        <w:rPr>
          <w:b/>
          <w:sz w:val="22"/>
          <w:u w:val="single"/>
        </w:rPr>
      </w:pPr>
      <w:r>
        <w:rPr>
          <w:b/>
          <w:sz w:val="22"/>
          <w:u w:val="single"/>
        </w:rPr>
        <w:t>Set-off.</w:t>
      </w:r>
    </w:p>
    <w:p>
      <w:pPr>
        <w:pStyle w:val="BodyTextIndent2"/>
        <w:widowControl/>
        <w:spacing w:before="0" w:after="0"/>
        <w:ind w:start="0" w:end="0"/>
        <w:rPr>
          <w:b/>
          <w:sz w:val="22"/>
          <w:u w:val="single"/>
        </w:rPr>
      </w:pPr>
      <w:r>
        <w:rPr>
          <w:b/>
          <w:sz w:val="22"/>
          <w:u w:val="single"/>
        </w:rPr>
      </w:r>
    </w:p>
    <w:p>
      <w:pPr>
        <w:pStyle w:val="Normal"/>
        <w:ind w:hanging="709" w:start="709" w:end="0"/>
        <w:jc w:val="both"/>
        <w:rPr>
          <w:sz w:val="22"/>
        </w:rPr>
      </w:pPr>
      <w:r>
        <w:rPr>
          <w:sz w:val="22"/>
        </w:rPr>
        <w:t xml:space="preserve">A new Section 6(f) in the ISDA Form is inserted as follows: </w:t>
      </w:r>
    </w:p>
    <w:p>
      <w:pPr>
        <w:pStyle w:val="Normal"/>
        <w:ind w:hanging="709" w:start="709" w:end="0"/>
        <w:jc w:val="both"/>
        <w:rPr>
          <w:sz w:val="22"/>
        </w:rPr>
      </w:pPr>
      <w:r>
        <w:rPr>
          <w:sz w:val="22"/>
        </w:rPr>
      </w:r>
    </w:p>
    <w:p>
      <w:pPr>
        <w:pStyle w:val="Normal"/>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8"/>
        </w:numPr>
        <w:tabs>
          <w:tab w:val="left" w:pos="720" w:leader="none"/>
        </w:tabs>
        <w:spacing w:before="240" w:after="120"/>
        <w:ind w:hanging="360" w:start="720" w:end="0"/>
        <w:rPr>
          <w:rFonts w:ascii="Tms Rmn;Times New Roman" w:hAnsi="Tms Rmn;Times New Roman" w:cs="Tms Rmn;Times New Roman"/>
        </w:rPr>
      </w:pPr>
      <w:r>
        <w:rPr>
          <w:rFonts w:cs="Tms Rmn;Times New Roman" w:ascii="Tms Rmn;Times New Roman" w:hAnsi="Tms Rmn;Times New Roman"/>
        </w:rPr>
        <w:t>To effect a set-off the Payer may convert the Payer’s Amount or the Set-Off Amount into the currency in which the other is denominated (“</w:t>
      </w:r>
      <w:r>
        <w:rPr>
          <w:rFonts w:cs="Tms Rmn;Times New Roman" w:ascii="Tms Rmn;Times New Roman" w:hAnsi="Tms Rmn;Times New Roman"/>
          <w:b/>
        </w:rPr>
        <w:t>Other Currency</w:t>
      </w:r>
      <w:r>
        <w:rPr>
          <w:rFonts w:cs="Tms Rmn;Times New Roman" w:ascii="Tms Rmn;Times New Roman" w:hAnsi="Tms Rmn;Times New Roma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360" w:start="0" w:end="0"/>
        <w:rPr>
          <w:rFonts w:ascii="Tms Rmn;Times New Roman" w:hAnsi="Tms Rmn;Times New Roman" w:cs="Tms Rmn;Times New Roman"/>
        </w:rPr>
      </w:pPr>
      <w:r>
        <w:rPr>
          <w:rFonts w:cs="Tms Rmn;Times New Roman" w:ascii="Tms Rmn;Times New Roman" w:hAnsi="Tms Rmn;Times New Roman"/>
        </w:rPr>
        <w:t>(iii)</w:t>
        <w:tab/>
        <w:t>The Payer must notify the Payee of any set-off effected under this Section 6(f).</w:t>
      </w:r>
    </w:p>
    <w:p>
      <w:pPr>
        <w:pStyle w:val="BodyTextIndent"/>
        <w:spacing w:before="0" w:after="0"/>
        <w:ind w:hanging="360" w:end="0"/>
        <w:rPr>
          <w:rFonts w:ascii="Tms Rmn;Times New Roman" w:hAnsi="Tms Rmn;Times New Roman" w:cs="Tms Rmn;Times New Roman"/>
        </w:rPr>
      </w:pPr>
      <w:r>
        <w:rPr>
          <w:rFonts w:cs="Tms Rmn;Times New Roman" w:ascii="Tms Rmn;Times New Roman" w:hAnsi="Tms Rmn;Times New Roma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Times New Roman" w:hAnsi="Tms Rmn;Times New Roman" w:cs="Tms Rmn;Times New Roman"/>
          <w:b/>
          <w:sz w:val="22"/>
        </w:rPr>
      </w:pPr>
      <w:r>
        <w:rPr>
          <w:rFonts w:cs="Tms Rmn;Times New Roman" w:ascii="Tms Rmn;Times New Roman" w:hAnsi="Tms Rmn;Times New Roman"/>
          <w:b/>
          <w:sz w:val="22"/>
        </w:rPr>
      </w:r>
    </w:p>
    <w:p>
      <w:pPr>
        <w:pStyle w:val="Normal"/>
        <w:numPr>
          <w:ilvl w:val="0"/>
          <w:numId w:val="10"/>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10"/>
        </w:numPr>
        <w:jc w:val="both"/>
        <w:outlineLvl w:val="0"/>
        <w:rPr>
          <w:sz w:val="22"/>
        </w:rPr>
      </w:pPr>
      <w:r>
        <w:rPr>
          <w:b/>
          <w:sz w:val="22"/>
          <w:u w:val="single"/>
        </w:rPr>
        <w:t>Taxes</w:t>
      </w:r>
      <w:r>
        <w:rPr>
          <w:sz w:val="22"/>
          <w:u w:val="single"/>
        </w:rPr>
        <w:t>.</w:t>
      </w:r>
    </w:p>
    <w:p>
      <w:pPr>
        <w:pStyle w:val="Normal"/>
        <w:jc w:val="both"/>
        <w:rPr>
          <w:sz w:val="22"/>
        </w:rPr>
      </w:pPr>
      <w:r>
        <w:rPr>
          <w:sz w:val="22"/>
        </w:rPr>
      </w:r>
    </w:p>
    <w:p>
      <w:pPr>
        <w:pStyle w:val="Heading3"/>
        <w:spacing w:before="0" w:after="0"/>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3"/>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3"/>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firstLine="720" w:end="0"/>
        <w:rPr/>
      </w:pPr>
      <w:r>
        <w:rPr/>
        <w:t>"Specified Jurisdiction" means Australia.</w:t>
      </w:r>
    </w:p>
    <w:p>
      <w:pPr>
        <w:pStyle w:val="Heading3"/>
        <w:spacing w:before="0" w:after="0"/>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spacing w:before="0" w:after="0"/>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/mnt/main-storage/datasets/enron-docs/doc/GTC_CDD_Aust_060700.doc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b/>
      </w:rPr>
    </w:lvl>
  </w:abstractNum>
  <w:abstractNum w:abstractNumId="3">
    <w:lvl w:ilvl="0">
      <w:start w:val="6"/>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2"/>
      <w:numFmt w:val="lowerRoman"/>
      <w:lvlText w:val="(%1)"/>
      <w:lvlJc w:val="start"/>
      <w:pPr>
        <w:tabs>
          <w:tab w:val="num" w:pos="1080"/>
        </w:tabs>
        <w:ind w:start="1080" w:hanging="720"/>
      </w:pPr>
      <w:rPr/>
    </w:lvl>
  </w:abstractNum>
  <w:abstractNum w:abstractNumId="9">
    <w:lvl w:ilvl="0">
      <w:start w:val="7"/>
      <w:numFmt w:val="decimal"/>
      <w:lvlText w:val="%1"/>
      <w:lvlJc w:val="start"/>
      <w:pPr>
        <w:tabs>
          <w:tab w:val="num" w:pos="720"/>
        </w:tabs>
        <w:ind w:start="720" w:hanging="720"/>
      </w:pPr>
      <w:rPr>
        <w:u w:val="none"/>
      </w:rPr>
    </w:lvl>
  </w:abstractNum>
  <w:abstractNum w:abstractNumId="10">
    <w:lvl w:ilvl="0">
      <w:start w:val="8"/>
      <w:numFmt w:val="decimal"/>
      <w:lvlText w:val="%1"/>
      <w:lvlJc w:val="start"/>
      <w:pPr>
        <w:tabs>
          <w:tab w:val="num" w:pos="720"/>
        </w:tabs>
        <w:ind w:start="720" w:hanging="720"/>
      </w:pPr>
      <w:rPr>
        <w:i w:val="false"/>
        <w:u w:val="none"/>
        <w:b/>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WW8Num16z0">
    <w:name w:val="WW8Num16z0"/>
    <w:qFormat/>
    <w:rPr>
      <w:b/>
      <w:i w:val="false"/>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cs="Tms Rmn;Times New Roma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2000-07-06T02:17:00Z</dcterms:created>
  <dc:creator>David Minns</dc:creator>
  <dc:description/>
  <dc:language>en-CA</dc:language>
  <cp:lastModifiedBy>Enron Technology</cp:lastModifiedBy>
  <cp:lastPrinted>2000-05-26T14:33:00Z</cp:lastPrinted>
  <dcterms:modified xsi:type="dcterms:W3CDTF">2000-07-06T02:17:00Z</dcterms:modified>
  <cp:revision>2</cp:revision>
  <dc:subject/>
  <dc:title>ENRON AUSTRALIA FINANCE PTY LTD  ACN 082 245 921 ("Enron")</dc:title>
</cp:coreProperties>
</file>