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Telephone Call Summary Sheet</w:t>
      </w:r>
    </w:p>
    <w:p>
      <w:pPr>
        <w:pStyle w:val="Normal"/>
        <w:pBdr>
          <w:bottom w:val="single" w:sz="6" w:space="1" w:color="000000"/>
        </w:pBdr>
        <w:rPr>
          <w:rFonts w:ascii="Arial" w:hAnsi="Arial" w:cs="Arial"/>
          <w:sz w:val="32"/>
        </w:rPr>
      </w:pPr>
      <w:r>
        <w:rPr>
          <w:rFonts w:cs="Arial" w:ascii="Arial" w:hAnsi="Arial"/>
          <w:sz w:val="32"/>
        </w:rPr>
      </w:r>
    </w:p>
    <w:p>
      <w:pPr>
        <w:pStyle w:val="Normal"/>
        <w:rPr>
          <w:rFonts w:ascii="Arial" w:hAnsi="Arial" w:cs="Arial"/>
        </w:rPr>
      </w:pPr>
      <w:r>
        <w:rPr>
          <w:rFonts w:cs="Arial" w:ascii="Arial" w:hAnsi="Arial"/>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tab/>
            </w:r>
            <w:bookmarkStart w:id="0" w:name="By"/>
            <w:bookmarkEnd w:id="0"/>
            <w:r>
              <w:rPr>
                <w:rFonts w:cs="Arial" w:ascii="Arial" w:hAnsi="Arial"/>
              </w:rPr>
              <w:t xml:space="preserve"> Alisa Wade</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tab/>
            </w:r>
            <w:bookmarkStart w:id="1" w:name="Date"/>
            <w:bookmarkEnd w:id="1"/>
            <w:r>
              <w:rPr>
                <w:rFonts w:cs="Arial" w:ascii="Arial" w:hAnsi="Arial"/>
              </w:rPr>
              <w:t xml:space="preserve"> 9/27/01</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Talked With: </w:t>
              <w:tab/>
            </w:r>
            <w:bookmarkStart w:id="2" w:name="TalkedWith"/>
            <w:bookmarkEnd w:id="2"/>
            <w:r>
              <w:rPr>
                <w:rFonts w:cs="Arial" w:ascii="Arial" w:hAnsi="Arial"/>
              </w:rPr>
              <w:t xml:space="preserve"> Greg Simmons</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Project Number: </w:t>
              <w:tab/>
            </w:r>
            <w:bookmarkStart w:id="3" w:name="ProjectNumber"/>
            <w:bookmarkEnd w:id="3"/>
            <w:r>
              <w:rPr>
                <w:rFonts w:cs="Arial" w:ascii="Arial" w:hAnsi="Arial"/>
              </w:rPr>
              <w:t xml:space="preserve"> 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Of: </w:t>
              <w:tab/>
            </w:r>
            <w:bookmarkStart w:id="4" w:name="Of"/>
            <w:bookmarkEnd w:id="4"/>
            <w:r>
              <w:rPr>
                <w:rFonts w:cs="Arial" w:ascii="Arial" w:hAnsi="Arial"/>
              </w:rPr>
              <w:t xml:space="preserve"> BLM – Arizona State Office</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Project Name: </w:t>
              <w:tab/>
            </w:r>
            <w:bookmarkStart w:id="5" w:name="ProjectName"/>
            <w:bookmarkEnd w:id="5"/>
            <w:r>
              <w:rPr>
                <w:rFonts w:cs="Arial" w:ascii="Arial" w:hAnsi="Arial"/>
              </w:rPr>
              <w:t xml:space="preserve"> Project Sun Devil</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Telephone Number: </w:t>
              <w:tab/>
            </w:r>
            <w:bookmarkStart w:id="6" w:name="PhoneNumber"/>
            <w:bookmarkEnd w:id="6"/>
            <w:r>
              <w:rPr>
                <w:rFonts w:cs="Arial" w:ascii="Arial" w:hAnsi="Arial"/>
              </w:rPr>
              <w:t xml:space="preserve"> (602) 417-9200</w:t>
            </w:r>
          </w:p>
        </w:tc>
        <w:tc>
          <w:tcPr>
            <w:tcW w:w="5094" w:type="dxa"/>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 xml:space="preserve">Subject: </w:t>
              <w:tab/>
            </w:r>
            <w:bookmarkStart w:id="7" w:name="Subject"/>
            <w:bookmarkEnd w:id="7"/>
            <w:r>
              <w:rPr>
                <w:rFonts w:cs="Arial" w:ascii="Arial" w:hAnsi="Arial"/>
              </w:rPr>
              <w:t xml:space="preserve"> Agua Fria National Monument</w:t>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bookmarkStart w:id="8" w:name="Start"/>
      <w:bookmarkEnd w:id="8"/>
      <w:r>
        <w:rPr>
          <w:rFonts w:cs="Arial" w:ascii="Arial" w:hAnsi="Arial"/>
        </w:rPr>
        <w:t>Mr. Simmons stated that, from the BLM perspective, a proposed new pipeline would require a new ROW authorization and that the BLM would automatically deny all requests as inconsistent with the proclamation creating the national monument.</w:t>
      </w:r>
    </w:p>
    <w:p>
      <w:pPr>
        <w:pStyle w:val="Normal"/>
        <w:rPr>
          <w:rFonts w:ascii="Arial" w:hAnsi="Arial" w:cs="Arial"/>
        </w:rPr>
      </w:pPr>
      <w:r>
        <w:rPr>
          <w:rFonts w:cs="Arial" w:ascii="Arial" w:hAnsi="Arial"/>
        </w:rPr>
      </w:r>
    </w:p>
    <w:p>
      <w:pPr>
        <w:pStyle w:val="Normal"/>
        <w:rPr/>
      </w:pPr>
      <w:r>
        <w:rPr>
          <w:rFonts w:cs="Arial" w:ascii="Arial" w:hAnsi="Arial"/>
        </w:rPr>
        <w:t xml:space="preserve">The proclamation (found at </w:t>
      </w:r>
      <w:hyperlink r:id="rId2">
        <w:r>
          <w:rPr>
            <w:rStyle w:val="Hyperlink"/>
            <w:rFonts w:cs="Arial" w:ascii="Arial" w:hAnsi="Arial"/>
          </w:rPr>
          <w:t>http://www.az.blm.gov/fr_nlcs.htm</w:t>
        </w:r>
      </w:hyperlink>
      <w:r>
        <w:rPr>
          <w:rFonts w:cs="Arial" w:ascii="Arial" w:hAnsi="Arial"/>
        </w:rPr>
        <w:t>) states that the monument is subject to all existing rights.  Therefore, the existing ROW is upheld.  However, Mr. Simmons also stated that the existing ROW may be reconsidered at the time of renewal.  There may be a precedent set on this as there are a number of national monuments that were created over 30 years ago (the typical length of a BLM ROW grant).</w:t>
      </w:r>
    </w:p>
    <w:p>
      <w:pPr>
        <w:pStyle w:val="Normal"/>
        <w:rPr>
          <w:rFonts w:ascii="Arial" w:hAnsi="Arial" w:cs="Arial"/>
        </w:rPr>
      </w:pPr>
      <w:r>
        <w:rPr>
          <w:rFonts w:cs="Arial" w:ascii="Arial" w:hAnsi="Arial"/>
        </w:rPr>
      </w:r>
    </w:p>
    <w:p>
      <w:pPr>
        <w:pStyle w:val="Normal"/>
        <w:rPr/>
      </w:pPr>
      <w:r>
        <w:rPr>
          <w:rFonts w:cs="Arial" w:ascii="Arial" w:hAnsi="Arial"/>
        </w:rPr>
        <w:t xml:space="preserve">The proclamation does not specifically mention new ROW policies, it merely states that the monument is the “dominant reservation”.  The Interim-Management Policy for the recently created BLM managed monuments (found at </w:t>
      </w:r>
      <w:hyperlink r:id="rId3">
        <w:r>
          <w:rPr>
            <w:rStyle w:val="Hyperlink"/>
            <w:rFonts w:cs="Arial" w:ascii="Arial" w:hAnsi="Arial"/>
          </w:rPr>
          <w:t>http://azwww.az.blm.gov/fr_nlcs.htm</w:t>
        </w:r>
      </w:hyperlink>
      <w:r>
        <w:rPr>
          <w:rFonts w:cs="Arial" w:ascii="Arial" w:hAnsi="Arial"/>
        </w:rPr>
        <w:t>), however, states:</w:t>
      </w:r>
    </w:p>
    <w:p>
      <w:pPr>
        <w:pStyle w:val="Normal"/>
        <w:rPr/>
      </w:pPr>
      <w:r>
        <w:rPr>
          <w:rFonts w:cs="Arial" w:ascii="Arial" w:hAnsi="Arial"/>
        </w:rPr>
        <w:t>“</w:t>
      </w:r>
      <w:r>
        <w:rPr>
          <w:rFonts w:cs="Arial" w:ascii="Arial" w:hAnsi="Arial"/>
          <w:b/>
        </w:rPr>
        <w:t>Rights-of-Way:</w:t>
      </w:r>
      <w:r>
        <w:rPr>
          <w:rFonts w:cs="Arial" w:ascii="Arial" w:hAnsi="Arial"/>
        </w:rPr>
        <w:t xml:space="preserve"> No new rights-of-way or ancillary public facilities should be processed, except for rights-of-way pursuant to existing policies and practices and necessary for access to private or state inholdings.”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Interim-Management Policy also states:</w:t>
      </w:r>
    </w:p>
    <w:p>
      <w:pPr>
        <w:pStyle w:val="BlockText"/>
        <w:rPr>
          <w:rFonts w:ascii="Arial" w:hAnsi="Arial" w:cs="Arial"/>
        </w:rPr>
      </w:pPr>
      <w:r>
        <w:rPr>
          <w:rFonts w:cs="Arial" w:ascii="Arial" w:hAnsi="Arial"/>
        </w:rPr>
        <w:t>All existing planning documents related to the Monument lands should be reviewed for consistency with the Proclamation. Consistent with NEPA and FLPMA, the plans should be modified or a new plan created for the Monument that addresses all resource issues in the Proclamation. A separate planning document for the Monument is recommended, as opposed to combining the Monument with an adjacent administrative resource area.</w:t>
      </w:r>
    </w:p>
    <w:p>
      <w:pPr>
        <w:pStyle w:val="Normal"/>
        <w:rPr>
          <w:rFonts w:ascii="Arial" w:hAnsi="Arial" w:cs="Arial"/>
        </w:rPr>
      </w:pPr>
      <w:r>
        <w:rPr>
          <w:rFonts w:cs="Arial" w:ascii="Arial" w:hAnsi="Arial"/>
        </w:rPr>
        <w:t xml:space="preserve">Mr. Simmons stated that the BLM does plan to undergo a new management planning process for the AFNM.  He stated that once this process is complete, which he anticipates taking two years, the BLM can recommend changes in monument boundaries or changes to the proclamation to Congress.  These are only recommendations, however, and whether and when Congress would decide to adopt the recommendations is not predictable.   The decision to make recommended changes to Congress would come out of the public scoping process during the new management plan process.  </w:t>
      </w:r>
    </w:p>
    <w:p>
      <w:pPr>
        <w:pStyle w:val="Normal"/>
        <w:rPr>
          <w:rFonts w:ascii="Arial" w:hAnsi="Arial" w:cs="Arial"/>
        </w:rPr>
      </w:pPr>
      <w:r>
        <w:rPr>
          <w:rFonts w:cs="Arial" w:ascii="Arial" w:hAnsi="Arial"/>
        </w:rPr>
      </w:r>
    </w:p>
    <w:p>
      <w:pPr>
        <w:pStyle w:val="Normal"/>
        <w:rPr/>
      </w:pPr>
      <w:r>
        <w:rPr>
          <w:rFonts w:cs="Arial" w:ascii="Arial" w:hAnsi="Arial"/>
        </w:rPr>
        <w:t xml:space="preserve">It may be unlikely that the BLM would make a recommendation to Congress to change the proclamation to allow new pipeline ROWs.  The BLM has been interested in managing this land at a higher level of protection and previous public scoping (see October 1999 “Perry Mesa Future Management Assessment” found at </w:t>
      </w:r>
      <w:hyperlink r:id="rId4">
        <w:r>
          <w:rPr>
            <w:rStyle w:val="Hyperlink"/>
            <w:rFonts w:cs="Arial" w:ascii="Arial" w:hAnsi="Arial"/>
          </w:rPr>
          <w:t>http://azwww.az.blm.gov/aguafria/pmesaass.pdf</w:t>
        </w:r>
      </w:hyperlink>
      <w:r>
        <w:rPr>
          <w:rFonts w:cs="Arial" w:ascii="Arial" w:hAnsi="Arial"/>
        </w:rPr>
        <w:t xml:space="preserve">) showed support for a national special designation and stricter management of the area for protection of both archeological and natural resources found on site.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Outside of the BLM planning process, an act of Congress would still be required to change the proclamation to allow ROW grants.  There is no process for such action; one would need to assess the political climate of Congress and find a supportive bill sponsor (from Arizona).  </w:t>
        <w:tab/>
        <w:tab/>
        <w:tab/>
        <w:tab/>
      </w:r>
    </w:p>
    <w:p>
      <w:pPr>
        <w:pStyle w:val="Normal"/>
        <w:rPr>
          <w:rFonts w:ascii="Arial" w:hAnsi="Arial" w:cs="Arial"/>
        </w:rPr>
      </w:pPr>
      <w:r>
        <w:rPr>
          <w:rFonts w:cs="Arial" w:ascii="Arial" w:hAnsi="Arial"/>
        </w:rPr>
      </w:r>
    </w:p>
    <w:p>
      <w:pPr>
        <w:pStyle w:val="Normal"/>
        <w:jc w:val="end"/>
        <w:rPr>
          <w:rFonts w:ascii="Arial" w:hAnsi="Arial" w:cs="Arial"/>
          <w:color w:val="000000"/>
        </w:rPr>
      </w:pPr>
      <w:r>
        <w:rPr>
          <w:rFonts w:cs="Arial" w:ascii="Arial" w:hAnsi="Arial"/>
          <w:color w:val="000000"/>
        </w:rPr>
        <w:t>______________________________</w:t>
      </w:r>
    </w:p>
    <w:p>
      <w:pPr>
        <w:pStyle w:val="Normal"/>
        <w:jc w:val="end"/>
        <w:rPr>
          <w:rFonts w:ascii="Arial" w:hAnsi="Arial" w:cs="Arial"/>
          <w:color w:val="000000"/>
        </w:rPr>
      </w:pPr>
      <w:r>
        <w:rPr>
          <w:rFonts w:cs="Arial" w:ascii="Arial" w:hAnsi="Arial"/>
          <w:color w:val="000000"/>
        </w:rPr>
        <w:t>Signature</w:t>
      </w:r>
    </w:p>
    <w:p>
      <w:pPr>
        <w:pStyle w:val="Normal"/>
        <w:pBdr>
          <w:bottom w:val="single" w:sz="4" w:space="1" w:color="000000"/>
        </w:pBdr>
        <w:jc w:val="end"/>
        <w:rPr>
          <w:rFonts w:ascii="Arial" w:hAnsi="Arial" w:cs="Arial"/>
          <w:color w:val="000000"/>
        </w:rPr>
      </w:pPr>
      <w:r>
        <w:rPr>
          <w:rFonts w:cs="Arial" w:ascii="Arial" w:hAnsi="Arial"/>
          <w:color w:val="000000"/>
        </w:rPr>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r>
              <w:rPr>
                <w:rFonts w:cs="Arial" w:ascii="Arial" w:hAnsi="Arial"/>
                <w:color w:val="000000"/>
                <w:sz w:val="16"/>
              </w:rPr>
              <w:t xml:space="preserve"> </w:t>
            </w:r>
            <w:bookmarkStart w:id="9" w:name="d1"/>
            <w:bookmarkEnd w:id="9"/>
            <w:r>
              <w:rPr>
                <w:rFonts w:cs="Arial" w:ascii="Arial" w:hAnsi="Arial"/>
                <w:color w:val="000000"/>
                <w:sz w:val="16"/>
              </w:rPr>
              <w:t>Author</w:t>
            </w:r>
          </w:p>
        </w:tc>
        <w:tc>
          <w:tcPr>
            <w:tcW w:w="2940" w:type="dxa"/>
            <w:tcBorders/>
          </w:tcPr>
          <w:p>
            <w:pPr>
              <w:pStyle w:val="Normal"/>
              <w:ind w:hanging="297" w:start="297" w:end="0"/>
              <w:rPr/>
            </w:pPr>
            <w:r>
              <w:rPr>
                <w:rFonts w:cs="Arial" w:ascii="Arial" w:hAnsi="Arial"/>
                <w:b/>
                <w:color w:val="000000"/>
                <w:sz w:val="16"/>
              </w:rPr>
              <w:t>(2)</w:t>
            </w:r>
            <w:r>
              <w:rPr>
                <w:rFonts w:cs="Arial" w:ascii="Arial" w:hAnsi="Arial"/>
                <w:color w:val="000000"/>
                <w:sz w:val="16"/>
              </w:rPr>
              <w:t xml:space="preserve"> </w:t>
            </w:r>
            <w:bookmarkStart w:id="10" w:name="d2"/>
            <w:bookmarkEnd w:id="10"/>
            <w:r>
              <w:rPr>
                <w:rFonts w:cs="Arial" w:ascii="Arial" w:hAnsi="Arial"/>
                <w:color w:val="000000"/>
                <w:sz w:val="16"/>
              </w:rPr>
              <w:t>Scott Patti</w:t>
            </w:r>
          </w:p>
        </w:tc>
        <w:tc>
          <w:tcPr>
            <w:tcW w:w="2940" w:type="dxa"/>
            <w:tcBorders/>
          </w:tcPr>
          <w:p>
            <w:pPr>
              <w:pStyle w:val="Normal"/>
              <w:ind w:hanging="315" w:start="315" w:end="0"/>
              <w:rPr/>
            </w:pPr>
            <w:r>
              <w:rPr>
                <w:rFonts w:cs="Arial" w:ascii="Arial" w:hAnsi="Arial"/>
                <w:b/>
                <w:color w:val="000000"/>
                <w:sz w:val="16"/>
              </w:rPr>
              <w:t>(3)</w:t>
            </w:r>
            <w:r>
              <w:rPr>
                <w:rFonts w:cs="Arial" w:ascii="Arial" w:hAnsi="Arial"/>
                <w:color w:val="000000"/>
                <w:sz w:val="16"/>
              </w:rPr>
              <w:t xml:space="preserve"> </w:t>
            </w:r>
            <w:bookmarkStart w:id="11" w:name="d3"/>
            <w:bookmarkEnd w:id="11"/>
            <w:r>
              <w:rPr>
                <w:rFonts w:cs="Arial" w:ascii="Arial" w:hAnsi="Arial"/>
                <w:color w:val="000000"/>
                <w:sz w:val="16"/>
              </w:rPr>
              <w:t>Jon Alstad</w:t>
            </w:r>
          </w:p>
        </w:tc>
      </w:tr>
    </w:tbl>
    <w:p>
      <w:pPr>
        <w:pStyle w:val="Normal"/>
        <w:rPr>
          <w:rFonts w:ascii="Arial" w:hAnsi="Arial" w:cs="Arial"/>
        </w:rPr>
      </w:pPr>
      <w:r>
        <w:rPr>
          <w:rFonts w:cs="Arial" w:ascii="Arial" w:hAnsi="Arial"/>
        </w:rPr>
      </w:r>
    </w:p>
    <w:sectPr>
      <w:headerReference w:type="default" r:id="rId5"/>
      <w:footerReference w:type="default" r:id="rId6"/>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3"/>
        <w:lang w:eastAsia="en-US"/>
      </w:rPr>
    </w:pPr>
    <w:r>
      <w:rPr>
        <w:rFonts w:cs="Arial" w:ascii="Arial" w:hAnsi="Arial"/>
        <w:sz w:val="13"/>
        <w:lang w:eastAsia="en-US"/>
      </w:rPr>
      <w:fldChar w:fldCharType="begin"/>
    </w:r>
    <w:r>
      <w:rPr>
        <w:sz w:val="13"/>
        <w:rFonts w:cs="Arial" w:ascii="Arial" w:hAnsi="Arial"/>
        <w:lang w:eastAsia="en-US"/>
      </w:rPr>
      <w:instrText xml:space="preserve"> FILENAME \p </w:instrText>
    </w:r>
    <w:r>
      <w:rPr>
        <w:sz w:val="13"/>
        <w:rFonts w:cs="Arial" w:ascii="Arial" w:hAnsi="Arial"/>
        <w:lang w:eastAsia="en-US"/>
      </w:rPr>
      <w:fldChar w:fldCharType="separate"/>
    </w:r>
    <w:r>
      <w:rPr>
        <w:sz w:val="13"/>
        <w:rFonts w:cs="Arial" w:ascii="Arial" w:hAnsi="Arial"/>
        <w:lang w:eastAsia="en-US"/>
      </w:rPr>
      <w:t>/mnt/main-storage/datasets/enron-docs/doc/GSimmonstel.doc</w:t>
    </w:r>
    <w:r>
      <w:rPr>
        <w:sz w:val="13"/>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1" distT="0" distB="0" distL="114935" distR="114935" simplePos="0" locked="0" layoutInCell="1" allowOverlap="1" relativeHeight="2">
          <wp:simplePos x="0" y="0"/>
          <wp:positionH relativeFrom="column">
            <wp:posOffset>-19050</wp:posOffset>
          </wp:positionH>
          <wp:positionV relativeFrom="paragraph">
            <wp:posOffset>-19050</wp:posOffset>
          </wp:positionV>
          <wp:extent cx="685800" cy="314325"/>
          <wp:effectExtent l="0" t="0" r="0" b="0"/>
          <wp:wrapNone/>
          <wp:docPr id="1" name="IntlBLK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lBLKsm" descr="" title=""/>
                  <pic:cNvPicPr>
                    <a:picLocks noChangeAspect="1" noChangeArrowheads="1"/>
                  </pic:cNvPicPr>
                </pic:nvPicPr>
                <pic:blipFill>
                  <a:blip r:embed="rId1"/>
                  <a:srcRect l="-53" t="-117" r="-53" b="-117"/>
                  <a:stretch>
                    <a:fillRect/>
                  </a:stretch>
                </pic:blipFill>
                <pic:spPr bwMode="auto">
                  <a:xfrm>
                    <a:off x="0" y="0"/>
                    <a:ext cx="685800" cy="314325"/>
                  </a:xfrm>
                  <a:prstGeom prst="rect">
                    <a:avLst/>
                  </a:prstGeom>
                  <a:noFill/>
                </pic:spPr>
              </pic:pic>
            </a:graphicData>
          </a:graphic>
        </wp:anchor>
      </w:drawing>
    </w:r>
    <w:r>
      <w:rPr/>
      <w:t>f</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z.blm.gov/fr_nlcs.htm" TargetMode="External"/><Relationship Id="rId3" Type="http://schemas.openxmlformats.org/officeDocument/2006/relationships/hyperlink" Target="http://azwww.az.blm.gov/fr_nlcs.htm" TargetMode="External"/><Relationship Id="rId4" Type="http://schemas.openxmlformats.org/officeDocument/2006/relationships/hyperlink" Target="http://azwww.az.blm.gov/aguafria/pmesaass.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2001-09-27T20:04:00Z</dcterms:created>
  <dc:creator>Scott Patti</dc:creator>
  <dc:description/>
  <dc:language>en-CA</dc:language>
  <cp:lastModifiedBy>ensr user</cp:lastModifiedBy>
  <cp:lastPrinted>2001-09-27T13:49:00Z</cp:lastPrinted>
  <dcterms:modified xsi:type="dcterms:W3CDTF">2001-09-27T20:04:00Z</dcterms:modified>
  <cp:revision>2</cp:revision>
  <dc:subject/>
  <dc:title>Telephone Call Summary Sheet</dc:title>
</cp:coreProperties>
</file>