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Arial"/>
        </w:rPr>
      </w:pPr>
      <w:r>
        <w:drawing>
          <wp:anchor behindDoc="0" distT="0" distB="0" distL="114935" distR="114935" simplePos="0" locked="0" layoutInCell="0" allowOverlap="1" relativeHeight="2">
            <wp:simplePos x="0" y="0"/>
            <wp:positionH relativeFrom="column">
              <wp:posOffset>45720</wp:posOffset>
            </wp:positionH>
            <wp:positionV relativeFrom="paragraph">
              <wp:posOffset>91440</wp:posOffset>
            </wp:positionV>
            <wp:extent cx="1188720" cy="831850"/>
            <wp:effectExtent l="0" t="0" r="0" b="0"/>
            <wp:wrapTopAndBottom/>
            <wp:docPr id="1" name="PX%20stack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X%20stacked" descr="" title=""/>
                    <pic:cNvPicPr>
                      <a:picLocks noChangeAspect="1" noChangeArrowheads="1"/>
                    </pic:cNvPicPr>
                  </pic:nvPicPr>
                  <pic:blipFill>
                    <a:blip r:embed="rId2"/>
                    <a:srcRect l="-15" t="-23" r="-15" b="-23"/>
                    <a:stretch>
                      <a:fillRect/>
                    </a:stretch>
                  </pic:blipFill>
                  <pic:spPr bwMode="auto">
                    <a:xfrm>
                      <a:off x="0" y="0"/>
                      <a:ext cx="1188720" cy="831850"/>
                    </a:xfrm>
                    <a:prstGeom prst="rect">
                      <a:avLst/>
                    </a:prstGeom>
                    <a:noFill/>
                  </pic:spPr>
                </pic:pic>
              </a:graphicData>
            </a:graphic>
          </wp:anchor>
        </w:drawing>
      </w:r>
      <w:r>
        <w:rPr>
          <w:rFonts w:eastAsia="Arial"/>
        </w:rPr>
        <w:t xml:space="preserve">                                        </w:t>
      </w:r>
    </w:p>
    <w:p>
      <w:pPr>
        <w:pStyle w:val="Normal"/>
        <w:rPr/>
      </w:pPr>
      <w:r>
        <w:rPr/>
        <w:t>December 18, 2000</w:t>
      </w:r>
    </w:p>
    <w:p>
      <w:pPr>
        <w:pStyle w:val="Normal"/>
        <w:rPr/>
      </w:pPr>
      <w:r>
        <w:rPr/>
      </w:r>
    </w:p>
    <w:p>
      <w:pPr>
        <w:pStyle w:val="Normal"/>
        <w:rPr/>
      </w:pPr>
      <w:r>
        <w:rPr/>
        <w:t>Dear CalPX Participant:</w:t>
      </w:r>
    </w:p>
    <w:p>
      <w:pPr>
        <w:pStyle w:val="Normal"/>
        <w:rPr/>
      </w:pPr>
      <w:r>
        <w:rPr/>
      </w:r>
    </w:p>
    <w:p>
      <w:pPr>
        <w:pStyle w:val="Normal"/>
        <w:rPr/>
      </w:pPr>
      <w:r>
        <w:rPr/>
        <w:tab/>
        <w:t>As anticipated, last Friday the Federal Energy Regulatory Commission (FERC) released its final order on California’s energy situation.  The next regulatory event will occur this Thursday, December 21</w:t>
      </w:r>
      <w:r>
        <w:rPr>
          <w:vertAlign w:val="superscript"/>
        </w:rPr>
        <w:t>st</w:t>
      </w:r>
      <w:r>
        <w:rPr/>
        <w:t>, when the California Public Utility Commission (CPUC) is expected to deliver its response to the FERC order.</w:t>
      </w:r>
    </w:p>
    <w:p>
      <w:pPr>
        <w:pStyle w:val="Normal"/>
        <w:rPr/>
      </w:pPr>
      <w:r>
        <w:rPr/>
      </w:r>
    </w:p>
    <w:p>
      <w:pPr>
        <w:pStyle w:val="Normal"/>
        <w:rPr/>
      </w:pPr>
      <w:r>
        <w:rPr/>
        <w:tab/>
        <w:t>There is no denying the fact that FERC’s pronouncement was not a favorable one with regards to the California Power Exchange.  First, it denies California’s three investor owned utilities (IOUs) the authority to sell their generation through CalPX.  Second, FERC terminated CalPX’s rate schedule, effective the close of the April 30, 2001 trading day.  The third factor affecting us is the imposition of a “soft” $150 price cap, placed only on the CalPX and ISO markets.</w:t>
      </w:r>
    </w:p>
    <w:p>
      <w:pPr>
        <w:pStyle w:val="Normal"/>
        <w:rPr/>
      </w:pPr>
      <w:r>
        <w:rPr/>
      </w:r>
    </w:p>
    <w:p>
      <w:pPr>
        <w:pStyle w:val="Normal"/>
        <w:rPr/>
      </w:pPr>
      <w:r>
        <w:rPr/>
        <w:t>Our strategy in light of the FERC decision is as follows:</w:t>
      </w:r>
    </w:p>
    <w:p>
      <w:pPr>
        <w:pStyle w:val="Normal"/>
        <w:rPr/>
      </w:pPr>
      <w:r>
        <w:rPr/>
      </w:r>
    </w:p>
    <w:p>
      <w:pPr>
        <w:pStyle w:val="Normal"/>
        <w:numPr>
          <w:ilvl w:val="0"/>
          <w:numId w:val="1"/>
        </w:numPr>
        <w:rPr/>
      </w:pPr>
      <w:r>
        <w:rPr/>
        <w:t>We will continue discussions with our customers to maintain our scheduling coordinator role with them for the foreseeable future.</w:t>
      </w:r>
    </w:p>
    <w:p>
      <w:pPr>
        <w:pStyle w:val="Normal"/>
        <w:numPr>
          <w:ilvl w:val="0"/>
          <w:numId w:val="1"/>
        </w:numPr>
        <w:rPr/>
      </w:pPr>
      <w:r>
        <w:rPr/>
        <w:t>We will be filing a new, market-based tariff with FERC to reflect current conditions. Under the new filing, regulatory control will be greatly reduced allowing us to move more quickly in the future.</w:t>
      </w:r>
    </w:p>
    <w:p>
      <w:pPr>
        <w:pStyle w:val="Normal"/>
        <w:numPr>
          <w:ilvl w:val="0"/>
          <w:numId w:val="1"/>
        </w:numPr>
        <w:rPr/>
      </w:pPr>
      <w:r>
        <w:rPr/>
        <w:t>We will continue to emphasize the positive aspects and benefits that result from using our forwards market as opposed to the bilateral transactions that are currently being touted as the answer to most of today’s problems.</w:t>
      </w:r>
    </w:p>
    <w:p>
      <w:pPr>
        <w:pStyle w:val="Normal"/>
        <w:numPr>
          <w:ilvl w:val="0"/>
          <w:numId w:val="1"/>
        </w:numPr>
        <w:rPr/>
      </w:pPr>
      <w:r>
        <w:rPr/>
        <w:t>We will simultaneously focus on growth opportunities available to us in other regions such as Alberta, New England and the Desert Southwest.</w:t>
      </w:r>
    </w:p>
    <w:p>
      <w:pPr>
        <w:pStyle w:val="Normal"/>
        <w:numPr>
          <w:ilvl w:val="0"/>
          <w:numId w:val="1"/>
        </w:numPr>
        <w:rPr/>
      </w:pPr>
      <w:r>
        <w:rPr/>
        <w:t>We are working to understand how to implement the “soft” price cap.  We will contact you to discuss our proposed solution in the very near future.</w:t>
      </w:r>
    </w:p>
    <w:p>
      <w:pPr>
        <w:pStyle w:val="Normal"/>
        <w:rPr/>
      </w:pPr>
      <w:r>
        <w:rPr/>
      </w:r>
    </w:p>
    <w:p>
      <w:pPr>
        <w:pStyle w:val="Normal"/>
        <w:rPr/>
      </w:pPr>
      <w:r>
        <w:rPr/>
        <w:tab/>
        <w:t xml:space="preserve">The next few days will likely bring about new revelations and reactions.  Tomorrow we will participate in a FERC meeting on bilateral transactions, and Thursday’s CPUC meeting is sure to be a major discussion point as well.  We will be sure to keep you posted.  </w:t>
      </w:r>
    </w:p>
    <w:p>
      <w:pPr>
        <w:pStyle w:val="Normal"/>
        <w:rPr/>
      </w:pPr>
      <w:r>
        <w:rPr/>
      </w:r>
    </w:p>
    <w:p>
      <w:pPr>
        <w:pStyle w:val="Normal"/>
        <w:rPr/>
      </w:pPr>
      <w:r>
        <w:rPr/>
        <w:t>Sincerely,</w:t>
      </w:r>
    </w:p>
    <w:p>
      <w:pPr>
        <w:pStyle w:val="Normal"/>
        <w:rPr/>
      </w:pPr>
      <w:r>
        <w:rPr/>
      </w:r>
    </w:p>
    <w:p>
      <w:pPr>
        <w:pStyle w:val="Normal"/>
        <w:rPr/>
      </w:pPr>
      <w:r>
        <w:rPr/>
        <w:t>George Sladoje</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2000-12-18T18:31:00Z</dcterms:created>
  <dc:creator>Beth Pendexter</dc:creator>
  <dc:description/>
  <dc:language>en-CA</dc:language>
  <cp:lastModifiedBy>Beth Pendexter</cp:lastModifiedBy>
  <cp:lastPrinted>2000-12-18T12:45:00Z</cp:lastPrinted>
  <dcterms:modified xsi:type="dcterms:W3CDTF">2000-12-18T18:31:00Z</dcterms:modified>
  <cp:revision>2</cp:revision>
  <dc:subject/>
  <dc:title>                                        </dc:title>
</cp:coreProperties>
</file>