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2"/>
        </w:rPr>
      </w:pPr>
      <w:r>
        <w:rPr>
          <w:b/>
          <w:sz w:val="22"/>
        </w:rPr>
        <w:t>SITHE/INDEPENDENCE POWER PARTNERS</w:t>
      </w:r>
    </w:p>
    <w:p>
      <w:pPr>
        <w:pStyle w:val="Normal"/>
        <w:rPr>
          <w:b/>
          <w:sz w:val="22"/>
        </w:rPr>
      </w:pPr>
      <w:r>
        <w:rPr>
          <w:b/>
          <w:sz w:val="22"/>
        </w:rPr>
        <w:t>ENRON NORTH AMERICA CORP.</w:t>
      </w:r>
    </w:p>
    <w:p>
      <w:pPr>
        <w:pStyle w:val="Normal"/>
        <w:rPr>
          <w:b/>
          <w:sz w:val="22"/>
        </w:rPr>
      </w:pPr>
      <w:r>
        <w:rPr>
          <w:b/>
          <w:sz w:val="22"/>
        </w:rPr>
        <w:t>AMENDED AND RESTATED BASE GAS SALES AGREEMENT</w:t>
      </w:r>
    </w:p>
    <w:p>
      <w:pPr>
        <w:pStyle w:val="Normal"/>
        <w:rPr>
          <w:b/>
          <w:sz w:val="22"/>
        </w:rPr>
      </w:pPr>
      <w:r>
        <w:rPr>
          <w:b/>
          <w:sz w:val="22"/>
        </w:rPr>
      </w:r>
    </w:p>
    <w:p>
      <w:pPr>
        <w:pStyle w:val="Normal"/>
        <w:rPr>
          <w:b/>
          <w:sz w:val="22"/>
        </w:rPr>
      </w:pPr>
      <w:r>
        <w:rPr>
          <w:b/>
          <w:sz w:val="22"/>
        </w:rPr>
        <w:t xml:space="preserve">PROCEDURES TO USE UNDER GSA &amp; AGENCY AGREEMENT </w:t>
      </w:r>
    </w:p>
    <w:p>
      <w:pPr>
        <w:pStyle w:val="Normal"/>
        <w:rPr>
          <w:b/>
          <w:sz w:val="22"/>
        </w:rPr>
      </w:pPr>
      <w:r>
        <w:rPr>
          <w:b/>
          <w:sz w:val="22"/>
        </w:rPr>
        <w:t>DURING MW TURNDOWN PERIOD</w:t>
      </w:r>
    </w:p>
    <w:p>
      <w:pPr>
        <w:pStyle w:val="Normal"/>
        <w:rPr>
          <w:b/>
          <w:sz w:val="22"/>
        </w:rPr>
      </w:pPr>
      <w:r>
        <w:rPr>
          <w:b/>
          <w:sz w:val="22"/>
        </w:rPr>
      </w:r>
    </w:p>
    <w:p>
      <w:pPr>
        <w:pStyle w:val="Normal"/>
        <w:rPr>
          <w:b/>
          <w:sz w:val="22"/>
        </w:rPr>
      </w:pPr>
      <w:r>
        <w:rPr>
          <w:b/>
          <w:sz w:val="22"/>
        </w:rPr>
      </w:r>
    </w:p>
    <w:p>
      <w:pPr>
        <w:pStyle w:val="Normal"/>
        <w:rPr>
          <w:sz w:val="22"/>
        </w:rPr>
      </w:pPr>
      <w:r>
        <w:rPr>
          <w:b/>
          <w:sz w:val="22"/>
          <w:u w:val="single"/>
        </w:rPr>
        <w:t>First of the Month Plant Deliverability</w:t>
      </w:r>
    </w:p>
    <w:p>
      <w:pPr>
        <w:pStyle w:val="Normal"/>
        <w:rPr>
          <w:sz w:val="22"/>
        </w:rPr>
      </w:pPr>
      <w:r>
        <w:rPr>
          <w:sz w:val="22"/>
        </w:rPr>
      </w:r>
    </w:p>
    <w:p>
      <w:pPr>
        <w:pStyle w:val="Normal"/>
        <w:numPr>
          <w:ilvl w:val="0"/>
          <w:numId w:val="5"/>
        </w:numPr>
        <w:rPr>
          <w:sz w:val="22"/>
        </w:rPr>
      </w:pPr>
      <w:r>
        <w:rPr>
          <w:sz w:val="22"/>
        </w:rPr>
        <w:t>Prior to the start of each month, ENA will continue to provide Sithe with the maximum deliverability at the plant under the GSA.  As always, this plant number will be the maximum sales volume in the field, 192,291 MMBtu/day, net of transportation fuel at each month’s posted pipeline fuel rates.  Should there be any downstream pipeline capacity constraints that restrict the full MDQ from being purchased under the GSA and transported to the plant through Sithe’s transportation capacity, there will be an additional reduction in the field sale and the plant deliverability.</w:t>
        <w:tab/>
      </w:r>
    </w:p>
    <w:p>
      <w:pPr>
        <w:pStyle w:val="Normal"/>
        <w:rPr>
          <w:sz w:val="22"/>
        </w:rPr>
      </w:pPr>
      <w:r>
        <w:rPr>
          <w:sz w:val="22"/>
        </w:rPr>
      </w:r>
    </w:p>
    <w:p>
      <w:pPr>
        <w:pStyle w:val="Normal"/>
        <w:ind w:start="360" w:end="0"/>
        <w:rPr>
          <w:sz w:val="22"/>
        </w:rPr>
      </w:pPr>
      <w:r>
        <w:rPr>
          <w:sz w:val="22"/>
        </w:rPr>
        <w:t>Example:  09/00</w:t>
        <w:tab/>
        <w:t>Plant Deliverability is 181,157 MMBtu/d</w:t>
      </w:r>
    </w:p>
    <w:p>
      <w:pPr>
        <w:pStyle w:val="Normal"/>
        <w:ind w:start="360" w:end="0"/>
        <w:rPr>
          <w:sz w:val="22"/>
        </w:rPr>
      </w:pPr>
      <w:r>
        <w:rPr>
          <w:sz w:val="22"/>
        </w:rPr>
        <w:tab/>
        <w:tab/>
        <w:tab/>
        <w:t>GSA Sale restricted to 192,026 MMBtu/d due to low fuel rates</w:t>
      </w:r>
    </w:p>
    <w:p>
      <w:pPr>
        <w:pStyle w:val="Normal"/>
        <w:ind w:firstLine="360" w:start="1800" w:end="0"/>
        <w:rPr>
          <w:sz w:val="22"/>
        </w:rPr>
      </w:pPr>
      <w:r>
        <w:rPr>
          <w:sz w:val="22"/>
        </w:rPr>
        <w:t>Sale at PEPL restricted to 37,713 MMBtu/d vs. 37,883 MMBtu/d</w:t>
      </w:r>
    </w:p>
    <w:p>
      <w:pPr>
        <w:pStyle w:val="Normal"/>
        <w:rPr>
          <w:sz w:val="22"/>
        </w:rPr>
      </w:pPr>
      <w:r>
        <w:rPr>
          <w:sz w:val="22"/>
        </w:rPr>
        <w:tab/>
        <w:tab/>
        <w:tab/>
        <w:t>Sale at ANR restricted to 125,913 MMBtu/d vs. 126,008 MMBtu/d</w:t>
      </w:r>
    </w:p>
    <w:p>
      <w:pPr>
        <w:pStyle w:val="Normal"/>
        <w:rPr>
          <w:sz w:val="22"/>
        </w:rPr>
      </w:pPr>
      <w:r>
        <w:rPr>
          <w:sz w:val="22"/>
        </w:rPr>
        <w:tab/>
      </w:r>
    </w:p>
    <w:p>
      <w:pPr>
        <w:pStyle w:val="Normal"/>
        <w:rPr>
          <w:sz w:val="22"/>
        </w:rPr>
      </w:pPr>
      <w:r>
        <w:rPr>
          <w:sz w:val="22"/>
        </w:rPr>
        <w:tab/>
        <w:t xml:space="preserve">(Note:  Capacity restrictions can occur in summer and shoulder months.  When </w:t>
      </w:r>
    </w:p>
    <w:p>
      <w:pPr>
        <w:pStyle w:val="Normal"/>
        <w:rPr>
          <w:sz w:val="22"/>
        </w:rPr>
      </w:pPr>
      <w:r>
        <w:rPr>
          <w:sz w:val="22"/>
        </w:rPr>
        <w:tab/>
        <w:tab/>
        <w:t>Winter fuel rates are effective, this should not be a issue.)</w:t>
      </w:r>
    </w:p>
    <w:p>
      <w:pPr>
        <w:pStyle w:val="Normal"/>
        <w:rPr>
          <w:sz w:val="22"/>
        </w:rPr>
      </w:pPr>
      <w:r>
        <w:rPr>
          <w:sz w:val="22"/>
        </w:rPr>
      </w:r>
    </w:p>
    <w:p>
      <w:pPr>
        <w:pStyle w:val="Normal"/>
        <w:numPr>
          <w:ilvl w:val="0"/>
          <w:numId w:val="5"/>
        </w:numPr>
        <w:rPr>
          <w:sz w:val="22"/>
        </w:rPr>
      </w:pPr>
      <w:r>
        <w:rPr>
          <w:sz w:val="22"/>
        </w:rPr>
        <w:t>Also prior to the start of the month, an Empire Pipeline imbalance plan showing Chippawa and plant volume adjustments will be provided to the plant.  Plant deliverability will increase if imbalance gas is due Sithe, and will decrease if the imbalance gas is due the pipeline.  Midmonth PPA adjustments will roll to the following month unless Empire insists that the volumes be worked off immediately.</w:t>
      </w:r>
    </w:p>
    <w:p>
      <w:pPr>
        <w:pStyle w:val="Normal"/>
        <w:rPr>
          <w:sz w:val="22"/>
        </w:rPr>
      </w:pPr>
      <w:r>
        <w:rPr>
          <w:sz w:val="22"/>
        </w:rPr>
      </w:r>
    </w:p>
    <w:p>
      <w:pPr>
        <w:pStyle w:val="Normal"/>
        <w:ind w:start="360" w:end="0"/>
        <w:rPr>
          <w:sz w:val="22"/>
        </w:rPr>
      </w:pPr>
      <w:r>
        <w:rPr>
          <w:sz w:val="22"/>
        </w:rPr>
        <w:t>Example:  09/00</w:t>
        <w:tab/>
        <w:t>F-O-M Imbalance Plan  =  685 MMBtu/day @ Chippawa due Sithe</w:t>
      </w:r>
    </w:p>
    <w:p>
      <w:pPr>
        <w:pStyle w:val="Normal"/>
        <w:ind w:start="360" w:end="0"/>
        <w:rPr>
          <w:sz w:val="22"/>
        </w:rPr>
      </w:pPr>
      <w:r>
        <w:rPr>
          <w:sz w:val="22"/>
        </w:rPr>
        <w:tab/>
        <w:tab/>
        <w:tab/>
        <w:tab/>
        <w:tab/>
        <w:tab/>
        <w:t>=  683 MMBtu/day @ Plant due Sithe</w:t>
      </w:r>
    </w:p>
    <w:p>
      <w:pPr>
        <w:pStyle w:val="Normal"/>
        <w:ind w:firstLine="720" w:start="1440" w:end="0"/>
        <w:rPr>
          <w:sz w:val="22"/>
        </w:rPr>
      </w:pPr>
      <w:r>
        <w:rPr>
          <w:sz w:val="22"/>
        </w:rPr>
        <w:t>Adjusted Plant Max Burn  =  181,157 + 683 = 181,840 MMBtu/day</w:t>
      </w:r>
    </w:p>
    <w:p>
      <w:pPr>
        <w:pStyle w:val="Normal"/>
        <w:ind w:firstLine="720" w:start="1440" w:end="0"/>
        <w:rPr>
          <w:sz w:val="22"/>
        </w:rPr>
      </w:pPr>
      <w:r>
        <w:rPr>
          <w:sz w:val="22"/>
        </w:rPr>
      </w:r>
    </w:p>
    <w:p>
      <w:pPr>
        <w:pStyle w:val="Normal"/>
        <w:ind w:start="2160" w:end="0"/>
        <w:rPr>
          <w:sz w:val="22"/>
        </w:rPr>
      </w:pPr>
      <w:r>
        <w:rPr>
          <w:sz w:val="22"/>
        </w:rPr>
        <w:t>9/21/00 Imbalance Plan =  2,085 MMBtu/day @ Chippawa due Sithe</w:t>
      </w:r>
    </w:p>
    <w:p>
      <w:pPr>
        <w:pStyle w:val="Normal"/>
        <w:ind w:start="360" w:end="0"/>
        <w:rPr>
          <w:sz w:val="22"/>
        </w:rPr>
      </w:pPr>
      <w:r>
        <w:rPr>
          <w:sz w:val="22"/>
        </w:rPr>
        <w:tab/>
        <w:tab/>
        <w:tab/>
        <w:tab/>
        <w:tab/>
        <w:tab/>
        <w:t>=  2,079 MMBtu/day @ Plant due Sithe</w:t>
      </w:r>
    </w:p>
    <w:p>
      <w:pPr>
        <w:pStyle w:val="Normal"/>
        <w:ind w:firstLine="720" w:start="1440" w:end="0"/>
        <w:rPr>
          <w:sz w:val="22"/>
        </w:rPr>
      </w:pPr>
      <w:r>
        <w:rPr>
          <w:sz w:val="22"/>
        </w:rPr>
        <w:t>Adjusted Plant Max Burn  =  181,157 + 2,079 = 183,236 MMBtu/day</w:t>
      </w:r>
    </w:p>
    <w:p>
      <w:pPr>
        <w:pStyle w:val="Normal"/>
        <w:rPr>
          <w:sz w:val="22"/>
        </w:rPr>
      </w:pPr>
      <w:r>
        <w:rPr>
          <w:sz w:val="22"/>
        </w:rPr>
      </w:r>
    </w:p>
    <w:p>
      <w:pPr>
        <w:pStyle w:val="Normal"/>
        <w:ind w:start="720" w:end="0"/>
        <w:rPr>
          <w:sz w:val="22"/>
        </w:rPr>
      </w:pPr>
      <w:r>
        <w:rPr>
          <w:sz w:val="22"/>
        </w:rPr>
        <w:t xml:space="preserve">      </w:t>
      </w:r>
      <w:r>
        <w:rPr>
          <w:sz w:val="22"/>
        </w:rPr>
        <w:t>(Note:  Empire insisted that imbalance payback to Sithe be increased mid-month )</w:t>
      </w:r>
    </w:p>
    <w:p>
      <w:pPr>
        <w:pStyle w:val="Normal"/>
        <w:rPr>
          <w:sz w:val="22"/>
        </w:rPr>
      </w:pPr>
      <w:r>
        <w:rPr>
          <w:sz w:val="22"/>
        </w:rPr>
      </w:r>
    </w:p>
    <w:p>
      <w:pPr>
        <w:pStyle w:val="Normal"/>
        <w:numPr>
          <w:ilvl w:val="0"/>
          <w:numId w:val="5"/>
        </w:numPr>
        <w:rPr>
          <w:sz w:val="22"/>
        </w:rPr>
      </w:pPr>
      <w:r>
        <w:rPr>
          <w:sz w:val="22"/>
        </w:rPr>
        <w:t>Sithe will be responsible for not overburning above the maximum burn limit at the plant during the MW Turndown transaction period.  To help control this process, ENA will also provide to Sithe prior to the start of the month, a separate plant volume adjustment for the gas resold to ENA under the MW Turndown transaction.  This plant volume adjustment will be based on quantity and location of the resale volumes and the posted fuel rates for the month.</w:t>
      </w:r>
    </w:p>
    <w:p>
      <w:pPr>
        <w:pStyle w:val="Normal"/>
        <w:rPr>
          <w:sz w:val="22"/>
        </w:rPr>
      </w:pPr>
      <w:r>
        <w:rPr>
          <w:sz w:val="22"/>
        </w:rPr>
      </w:r>
    </w:p>
    <w:p>
      <w:pPr>
        <w:pStyle w:val="Normal"/>
        <w:ind w:start="360" w:end="0"/>
        <w:rPr>
          <w:sz w:val="22"/>
        </w:rPr>
      </w:pPr>
      <w:r>
        <w:rPr>
          <w:sz w:val="22"/>
        </w:rPr>
        <w:t>Example:  09/00</w:t>
        <w:tab/>
        <w:t>106,000 MMBtu/day Field Resale Volumes</w:t>
      </w:r>
    </w:p>
    <w:p>
      <w:pPr>
        <w:pStyle w:val="Normal"/>
        <w:ind w:firstLine="720" w:start="1440" w:end="0"/>
        <w:rPr>
          <w:sz w:val="22"/>
        </w:rPr>
      </w:pPr>
      <w:r>
        <w:rPr>
          <w:sz w:val="22"/>
        </w:rPr>
        <w:t>7,270 MMBtu/day Transportation Fuel Losses</w:t>
      </w:r>
    </w:p>
    <w:p>
      <w:pPr>
        <w:pStyle w:val="Normal"/>
        <w:ind w:start="720" w:end="0"/>
        <w:rPr>
          <w:sz w:val="22"/>
        </w:rPr>
      </w:pPr>
      <w:r>
        <w:rPr>
          <w:sz w:val="22"/>
        </w:rPr>
        <w:t>MW Turndown Plant Max Burn  =  183,236 – (106,000 – 7,270) = 84,506 MMBtu/day</w:t>
      </w:r>
    </w:p>
    <w:p>
      <w:pPr>
        <w:pStyle w:val="Normal"/>
        <w:ind w:firstLine="720" w:start="1440" w:end="0"/>
        <w:rPr>
          <w:sz w:val="22"/>
        </w:rPr>
      </w:pPr>
      <w:r>
        <w:rPr>
          <w:sz w:val="22"/>
        </w:rPr>
      </w:r>
    </w:p>
    <w:p>
      <w:pPr>
        <w:pStyle w:val="Normal"/>
        <w:ind w:firstLine="720" w:start="1440" w:end="0"/>
        <w:rPr>
          <w:sz w:val="22"/>
        </w:rPr>
      </w:pPr>
      <w:r>
        <w:rPr>
          <w:sz w:val="22"/>
        </w:rPr>
        <w:tab/>
        <w:tab/>
        <w:tab/>
        <w:tab/>
      </w:r>
    </w:p>
    <w:p>
      <w:pPr>
        <w:pStyle w:val="Normal"/>
        <w:rPr>
          <w:sz w:val="22"/>
        </w:rPr>
      </w:pPr>
      <w:r>
        <w:rPr>
          <w:b/>
          <w:sz w:val="22"/>
          <w:u w:val="single"/>
        </w:rPr>
        <w:t>Daily Nominations &amp; GSA Field Sales Volumes</w:t>
      </w:r>
    </w:p>
    <w:p>
      <w:pPr>
        <w:pStyle w:val="Normal"/>
        <w:rPr>
          <w:sz w:val="22"/>
        </w:rPr>
      </w:pPr>
      <w:r>
        <w:rPr>
          <w:sz w:val="22"/>
        </w:rPr>
      </w:r>
    </w:p>
    <w:p>
      <w:pPr>
        <w:pStyle w:val="Normal"/>
        <w:numPr>
          <w:ilvl w:val="0"/>
          <w:numId w:val="3"/>
        </w:numPr>
        <w:rPr>
          <w:sz w:val="22"/>
        </w:rPr>
      </w:pPr>
      <w:r>
        <w:rPr>
          <w:sz w:val="22"/>
        </w:rPr>
        <w:t>Except for the 15 day period in October, as described below, the estimated GSA field sales for the period shall be determined using a procedure similar to the one outlined in the attached schedule without the regard to the availability of all or any portion of the plant.</w:t>
      </w:r>
    </w:p>
    <w:p>
      <w:pPr>
        <w:pStyle w:val="Normal"/>
        <w:rPr>
          <w:sz w:val="22"/>
        </w:rPr>
      </w:pPr>
      <w:r>
        <w:rPr>
          <w:sz w:val="22"/>
        </w:rPr>
      </w:r>
    </w:p>
    <w:p>
      <w:pPr>
        <w:pStyle w:val="Normal"/>
        <w:numPr>
          <w:ilvl w:val="0"/>
          <w:numId w:val="3"/>
        </w:numPr>
        <w:rPr>
          <w:sz w:val="22"/>
        </w:rPr>
      </w:pPr>
      <w:r>
        <w:rPr>
          <w:sz w:val="22"/>
        </w:rPr>
        <w:t>As shown in the attached Schedule for the months of September and October, the GSA field sales volumes will be decreased for the average ambient conditions which typically limit the capacity of the plant during the summer and shoulder months.  For the months of November through March, it is assumed that there is no ambient adjustment to the amount of gas that can be sold to the plant under the GSA.</w:t>
      </w:r>
    </w:p>
    <w:p>
      <w:pPr>
        <w:pStyle w:val="Normal"/>
        <w:rPr>
          <w:sz w:val="22"/>
        </w:rPr>
      </w:pPr>
      <w:r>
        <w:rPr>
          <w:sz w:val="22"/>
        </w:rPr>
      </w:r>
    </w:p>
    <w:p>
      <w:pPr>
        <w:pStyle w:val="Normal"/>
        <w:numPr>
          <w:ilvl w:val="0"/>
          <w:numId w:val="3"/>
        </w:numPr>
        <w:rPr>
          <w:sz w:val="22"/>
        </w:rPr>
      </w:pPr>
      <w:r>
        <w:rPr>
          <w:sz w:val="22"/>
        </w:rPr>
        <w:t>For the month of October, it is assumed that the major maintenance for the plant will occur completely during the last two weeks of the month without regard to the timing of the actual physical maintenance.  The GSA field sales volumes will be at one level during October 1</w:t>
      </w:r>
      <w:r>
        <w:rPr>
          <w:sz w:val="22"/>
          <w:vertAlign w:val="superscript"/>
        </w:rPr>
        <w:t>st</w:t>
      </w:r>
      <w:r>
        <w:rPr>
          <w:sz w:val="22"/>
        </w:rPr>
        <w:t xml:space="preserve"> through 16</w:t>
      </w:r>
      <w:r>
        <w:rPr>
          <w:sz w:val="22"/>
          <w:vertAlign w:val="superscript"/>
        </w:rPr>
        <w:t>th</w:t>
      </w:r>
      <w:r>
        <w:rPr>
          <w:sz w:val="22"/>
        </w:rPr>
        <w:t>, and at a reduced level during October 17</w:t>
      </w:r>
      <w:r>
        <w:rPr>
          <w:sz w:val="22"/>
          <w:vertAlign w:val="superscript"/>
        </w:rPr>
        <w:t>th</w:t>
      </w:r>
      <w:r>
        <w:rPr>
          <w:sz w:val="22"/>
        </w:rPr>
        <w:t xml:space="preserve"> through 31</w:t>
      </w:r>
      <w:r>
        <w:rPr>
          <w:sz w:val="22"/>
          <w:vertAlign w:val="superscript"/>
        </w:rPr>
        <w:t>st</w:t>
      </w:r>
      <w:r>
        <w:rPr>
          <w:sz w:val="22"/>
        </w:rPr>
        <w:t>.  The attached schedule outlines ENA’s suggested field sales volumes under the GSA, during the assumed maintenance period.  It is based on one block, half the plant, being down for a total of 15 days.</w:t>
      </w:r>
    </w:p>
    <w:p>
      <w:pPr>
        <w:pStyle w:val="Normal"/>
        <w:rPr>
          <w:sz w:val="22"/>
        </w:rPr>
      </w:pPr>
      <w:r>
        <w:rPr>
          <w:sz w:val="22"/>
        </w:rPr>
      </w:r>
    </w:p>
    <w:p>
      <w:pPr>
        <w:pStyle w:val="Normal"/>
        <w:numPr>
          <w:ilvl w:val="0"/>
          <w:numId w:val="3"/>
        </w:numPr>
        <w:rPr>
          <w:sz w:val="22"/>
        </w:rPr>
      </w:pPr>
      <w:r>
        <w:rPr>
          <w:sz w:val="22"/>
        </w:rPr>
        <w:t>Should the plant undergo a significant equipment problem during the MW Turndown transaction period, such that the generation capacity of the plant is less that 440 MW, in each instance for a period in excess of 48 hours, the parties agree that additional adjustments, not addressed in this procedure, will be made to further reduce the GSA field sales volumes for the relevant period.</w:t>
      </w:r>
    </w:p>
    <w:p>
      <w:pPr>
        <w:pStyle w:val="Normal"/>
        <w:rPr>
          <w:sz w:val="22"/>
        </w:rPr>
      </w:pPr>
      <w:r>
        <w:rPr>
          <w:sz w:val="22"/>
        </w:rPr>
      </w:r>
    </w:p>
    <w:p>
      <w:pPr>
        <w:pStyle w:val="Normal"/>
        <w:numPr>
          <w:ilvl w:val="0"/>
          <w:numId w:val="3"/>
        </w:numPr>
        <w:rPr>
          <w:sz w:val="22"/>
        </w:rPr>
      </w:pPr>
      <w:r>
        <w:rPr>
          <w:sz w:val="22"/>
        </w:rPr>
        <w:t xml:space="preserve">To the extent that when implementing the above procedures, the plant is unable to physically burn all the available volumes, the parties will use reasonable efforts to cause the extra volumes to be sold back to ENA rather than sold to a third party or increasing the Empire imbalance.  For the time period in question, the sales price for the extra volumes will be at the applicable prevailing market price and the gas revenues included in the MW Turndown transaction agreement will be increased by a like amount. </w:t>
      </w:r>
    </w:p>
    <w:p>
      <w:pPr>
        <w:pStyle w:val="Normal"/>
        <w:rPr>
          <w:sz w:val="22"/>
        </w:rPr>
      </w:pPr>
      <w:r>
        <w:rPr>
          <w:sz w:val="22"/>
        </w:rPr>
      </w:r>
    </w:p>
    <w:p>
      <w:pPr>
        <w:pStyle w:val="Normal"/>
        <w:rPr>
          <w:sz w:val="22"/>
        </w:rPr>
      </w:pPr>
      <w:r>
        <w:rPr>
          <w:sz w:val="22"/>
        </w:rPr>
      </w:r>
    </w:p>
    <w:p>
      <w:pPr>
        <w:pStyle w:val="Normal"/>
        <w:rPr>
          <w:b/>
          <w:sz w:val="22"/>
          <w:u w:val="single"/>
        </w:rPr>
      </w:pPr>
      <w:r>
        <w:rPr>
          <w:b/>
          <w:sz w:val="22"/>
          <w:u w:val="single"/>
        </w:rPr>
        <w:t>GSA Invoicing Procedures</w:t>
      </w:r>
    </w:p>
    <w:p>
      <w:pPr>
        <w:pStyle w:val="Normal"/>
        <w:rPr>
          <w:b/>
          <w:sz w:val="22"/>
          <w:u w:val="single"/>
        </w:rPr>
      </w:pPr>
      <w:r>
        <w:rPr>
          <w:b/>
          <w:sz w:val="22"/>
          <w:u w:val="single"/>
        </w:rPr>
      </w:r>
    </w:p>
    <w:p>
      <w:pPr>
        <w:pStyle w:val="Normal"/>
        <w:numPr>
          <w:ilvl w:val="0"/>
          <w:numId w:val="5"/>
        </w:numPr>
        <w:rPr>
          <w:sz w:val="22"/>
        </w:rPr>
      </w:pPr>
      <w:r>
        <w:rPr>
          <w:sz w:val="22"/>
        </w:rPr>
        <w:t>Invoices will continue to be based on Sithe’s daily field sales volumes under the GSA.  Tier I gas will continue to be considered the first 116,000 MMBtu/d sold under the GSA and Tier II gas will be the remaining volumes sold up to 76,291 MMBtu/d.</w:t>
      </w:r>
    </w:p>
    <w:p>
      <w:pPr>
        <w:pStyle w:val="Normal"/>
        <w:rPr>
          <w:sz w:val="22"/>
        </w:rPr>
      </w:pPr>
      <w:r>
        <w:rPr>
          <w:sz w:val="22"/>
        </w:rPr>
      </w:r>
    </w:p>
    <w:p>
      <w:pPr>
        <w:pStyle w:val="Normal"/>
        <w:numPr>
          <w:ilvl w:val="0"/>
          <w:numId w:val="5"/>
        </w:numPr>
        <w:rPr>
          <w:sz w:val="22"/>
        </w:rPr>
      </w:pPr>
      <w:r>
        <w:rPr>
          <w:sz w:val="22"/>
        </w:rPr>
        <w:t>The Chippawa Use Volume Multiplier will continue to be based on the field sales volumes under the GSA.</w:t>
      </w:r>
    </w:p>
    <w:p>
      <w:pPr>
        <w:pStyle w:val="Normal"/>
        <w:rPr>
          <w:sz w:val="22"/>
        </w:rPr>
      </w:pPr>
      <w:r>
        <w:rPr>
          <w:sz w:val="22"/>
        </w:rPr>
      </w:r>
    </w:p>
    <w:p>
      <w:pPr>
        <w:pStyle w:val="Normal"/>
        <w:numPr>
          <w:ilvl w:val="0"/>
          <w:numId w:val="5"/>
        </w:numPr>
        <w:rPr>
          <w:sz w:val="22"/>
        </w:rPr>
      </w:pPr>
      <w:r>
        <w:rPr>
          <w:sz w:val="22"/>
        </w:rPr>
        <w:t>Section 4.6(a) Transportation Savings under the GSA will continue to be based on the “Theoretical Transportation Cost” of the field sales volumes, as if all the volumes including the volumes sold back to ENA under the MW Turndown transaction will be transported all the way to the plant.  Sithe’s payment of ENA’s share of the Section 4.6(a) Transportation Savings will continue to be deferred under the GSA until a distribution is made to the project’s equity investors.</w:t>
      </w:r>
    </w:p>
    <w:p>
      <w:pPr>
        <w:pStyle w:val="Normal"/>
        <w:rPr>
          <w:sz w:val="22"/>
        </w:rPr>
      </w:pPr>
      <w:r>
        <w:rPr>
          <w:sz w:val="22"/>
        </w:rPr>
      </w:r>
    </w:p>
    <w:p>
      <w:pPr>
        <w:pStyle w:val="Normal"/>
        <w:numPr>
          <w:ilvl w:val="0"/>
          <w:numId w:val="5"/>
        </w:numPr>
        <w:rPr>
          <w:sz w:val="22"/>
        </w:rPr>
      </w:pPr>
      <w:r>
        <w:rPr>
          <w:sz w:val="22"/>
        </w:rPr>
        <w:t>For the October 2000 invoice under the GSA, the monthly field sales volume of 4,460,959 MMBtu under the GSA is proposed by ENA.  This sales volume is based on the calculations in the attached table.  Briefly, after adjusting for ambient conditions, it was assumed that one block, 507 MW, would be down for 15 days in order to complete the major maintenance.  Since this net monthly sales volume is now below the Monthly Minimum Quantity of 4,947,647 MMBtu for October, ENA will provide Sithe a separate letter to address ENA’s approval of the reduction of the Minimum Monthly Quantity for the month.</w:t>
      </w:r>
    </w:p>
    <w:p>
      <w:pPr>
        <w:pStyle w:val="Normal"/>
        <w:rPr>
          <w:sz w:val="22"/>
        </w:rPr>
      </w:pPr>
      <w:r>
        <w:rPr>
          <w:sz w:val="22"/>
        </w:rPr>
      </w:r>
    </w:p>
    <w:p>
      <w:pPr>
        <w:pStyle w:val="Normal"/>
        <w:numPr>
          <w:ilvl w:val="0"/>
          <w:numId w:val="2"/>
        </w:numPr>
        <w:rPr>
          <w:sz w:val="22"/>
        </w:rPr>
      </w:pPr>
      <w:r>
        <w:rPr>
          <w:sz w:val="22"/>
        </w:rPr>
        <w:t>In addition to the Section 4.6(a) Transportation Savings under the GSA, both parties recognize that there may be transportation commodity costs/savings that are created during the MW Turndown transaction period that are associated with the management of gas supplies for the project.  It is ENA’s and Sithe’s intention that these transportation commodity costs/savings, will be identified and accounted for on a monthly basis and the cash value shared monthly between the parties.</w:t>
      </w:r>
    </w:p>
    <w:p>
      <w:pPr>
        <w:pStyle w:val="Normal"/>
        <w:numPr>
          <w:ilvl w:val="0"/>
          <w:numId w:val="0"/>
        </w:numPr>
        <w:ind w:hanging="360" w:start="360" w:end="0"/>
        <w:rPr>
          <w:b/>
          <w:sz w:val="22"/>
          <w:u w:val="single"/>
        </w:rPr>
      </w:pPr>
      <w:r>
        <w:rPr>
          <w:b/>
          <w:sz w:val="22"/>
          <w:u w:val="single"/>
        </w:rPr>
      </w:r>
    </w:p>
    <w:p>
      <w:pPr>
        <w:pStyle w:val="Normal"/>
        <w:numPr>
          <w:ilvl w:val="0"/>
          <w:numId w:val="0"/>
        </w:numPr>
        <w:ind w:hanging="360" w:start="360" w:end="0"/>
        <w:rPr>
          <w:b/>
          <w:sz w:val="22"/>
          <w:u w:val="single"/>
        </w:rPr>
      </w:pPr>
      <w:r>
        <w:rPr>
          <w:b/>
          <w:sz w:val="22"/>
          <w:u w:val="single"/>
        </w:rPr>
      </w:r>
    </w:p>
    <w:p>
      <w:pPr>
        <w:pStyle w:val="Heading1"/>
        <w:ind w:hanging="0" w:start="0"/>
        <w:rPr/>
      </w:pPr>
      <w:r>
        <w:rPr/>
        <w:t>Optimization of Transportation Asset Value</w:t>
      </w:r>
    </w:p>
    <w:p>
      <w:pPr>
        <w:pStyle w:val="Normal"/>
        <w:rPr>
          <w:sz w:val="22"/>
        </w:rPr>
      </w:pPr>
      <w:r>
        <w:rPr>
          <w:sz w:val="22"/>
        </w:rPr>
      </w:r>
    </w:p>
    <w:p>
      <w:pPr>
        <w:pStyle w:val="Normal"/>
        <w:numPr>
          <w:ilvl w:val="0"/>
          <w:numId w:val="5"/>
        </w:numPr>
        <w:rPr>
          <w:sz w:val="22"/>
        </w:rPr>
      </w:pPr>
      <w:r>
        <w:rPr>
          <w:sz w:val="22"/>
        </w:rPr>
        <w:t xml:space="preserve">The objective of both parties is to continue to maximize the value of Sithe’s transportation assets.  ENA will continue to enter into revenue sharing transactions within the month as price spreads allow.  Incremental revenues and cost savings will continue to be shared 50/50 with Sithe.  If the capacity created during the MW Turndown transaction is used to create additional incremental revenues, Sithe will be reimbursed the additional transportation commodity costs out of the deal proceeds.  </w:t>
      </w:r>
    </w:p>
    <w:p>
      <w:pPr>
        <w:pStyle w:val="Normal"/>
        <w:rPr>
          <w:sz w:val="22"/>
        </w:rPr>
      </w:pPr>
      <w:r>
        <w:rPr>
          <w:sz w:val="22"/>
        </w:rPr>
      </w:r>
    </w:p>
    <w:p>
      <w:pPr>
        <w:pStyle w:val="Normal"/>
        <w:numPr>
          <w:ilvl w:val="0"/>
          <w:numId w:val="5"/>
        </w:numPr>
        <w:rPr>
          <w:sz w:val="22"/>
        </w:rPr>
      </w:pPr>
      <w:r>
        <w:rPr>
          <w:sz w:val="22"/>
        </w:rPr>
        <w:t>ENA will provide the plant with a weekly report describing the incremental revenue from the capacity release, diversion, and “unutilized capacity” transactions resulting from the optimization of the plant’s transportation assets during the MW Turndown transaction period.</w:t>
      </w:r>
    </w:p>
    <w:p>
      <w:pPr>
        <w:pStyle w:val="Normal"/>
        <w:rPr>
          <w:sz w:val="22"/>
        </w:rPr>
      </w:pPr>
      <w:r>
        <w:rPr>
          <w:sz w:val="22"/>
        </w:rPr>
      </w:r>
    </w:p>
    <w:p>
      <w:pPr>
        <w:pStyle w:val="Normal"/>
        <w:numPr>
          <w:ilvl w:val="0"/>
          <w:numId w:val="5"/>
        </w:numPr>
        <w:rPr>
          <w:sz w:val="22"/>
        </w:rPr>
      </w:pPr>
      <w:r>
        <w:rPr>
          <w:sz w:val="22"/>
        </w:rPr>
        <w:t>ENA also believes that there may be winter term (November through March) or multi-month opportunities that come up during trading that would create additional asset value, which in turn could then be shared 50/50 between the parties.  In order to take advantage of these opportunities, ENA would have to be able to transact instantaneously by having Sithe’s prior approval to enter into a deal longer than a month.  ENA would also need additional agency authority from the pipelines, so that these transactions can be managed and scheduled.  Some examples of these transactions include capacity releases/capacity assignments, secondary delivery and receipt point requests, requesting spot discounts, or possible imbalance trading with third parties.</w:t>
      </w:r>
    </w:p>
    <w:p>
      <w:pPr>
        <w:pStyle w:val="Normal"/>
        <w:rPr>
          <w:sz w:val="22"/>
        </w:rPr>
      </w:pPr>
      <w:r>
        <w:rPr>
          <w:sz w:val="22"/>
        </w:rPr>
      </w:r>
    </w:p>
    <w:p>
      <w:pPr>
        <w:pStyle w:val="Normal"/>
        <w:rPr>
          <w:sz w:val="22"/>
        </w:rPr>
      </w:pPr>
      <w:r>
        <w:rPr>
          <w:sz w:val="22"/>
        </w:rPr>
      </w:r>
    </w:p>
    <w:p>
      <w:pPr>
        <w:pStyle w:val="Heading1"/>
        <w:ind w:hanging="0" w:start="0"/>
        <w:rPr/>
      </w:pPr>
      <w:r>
        <w:rPr/>
        <w:t>ENA Request for Additional Agency Rights</w:t>
      </w:r>
    </w:p>
    <w:p>
      <w:pPr>
        <w:pStyle w:val="Normal"/>
        <w:rPr/>
      </w:pPr>
      <w:r>
        <w:rPr/>
      </w:r>
    </w:p>
    <w:p>
      <w:pPr>
        <w:pStyle w:val="BodyTextIndent"/>
        <w:numPr>
          <w:ilvl w:val="0"/>
          <w:numId w:val="4"/>
        </w:numPr>
        <w:rPr/>
      </w:pPr>
      <w:r>
        <w:rPr/>
        <w:t>ENA is again requesting that Sithe consider letting us have more authority in these areas without prior approval.  By transacting on a more timely basis, incremental revenues that would be shared 50/50 between the parties should be created.  ENA is in the process of putting a package of authorization forms for Sithe’s review and approval that will allow these additional agency rights to be recognized by the pipelines.</w:t>
      </w:r>
    </w:p>
    <w:p>
      <w:pPr>
        <w:pStyle w:val="BodyTextIndent"/>
        <w:rPr/>
      </w:pPr>
      <w:r>
        <w:rPr/>
      </w:r>
    </w:p>
    <w:p>
      <w:pPr>
        <w:pStyle w:val="BodyTextIndent"/>
        <w:rPr>
          <w:b/>
        </w:rPr>
      </w:pPr>
      <w:r>
        <w:rPr>
          <w:b/>
        </w:rPr>
        <w:t>Beginning on October 1, 2000, we would like to have Sithe’s verbal authorization to transact these types of term transactions through March 31, 2001 and have the appropriate forms and authorizations submitted to the pipelines to document Sithe’s approval to be your agent in other matters besides nominations and scheduling activities.</w:t>
      </w:r>
    </w:p>
    <w:p>
      <w:pPr>
        <w:pStyle w:val="Normal"/>
        <w:rPr>
          <w:b/>
          <w:sz w:val="22"/>
        </w:rPr>
      </w:pPr>
      <w:r>
        <w:rPr>
          <w:b/>
          <w:sz w:val="22"/>
        </w:rPr>
      </w:r>
    </w:p>
    <w:sectPr>
      <w:headerReference w:type="default" r:id="rId2"/>
      <w:footerReference w:type="default" r:id="rId3"/>
      <w:type w:val="nextPage"/>
      <w:pgSz w:w="12240" w:h="15840"/>
      <w:pgMar w:left="1800" w:right="1800" w:gutter="0" w:header="1008" w:top="1728"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rPr>
    </w:pPr>
    <w:r>
      <w:rPr>
        <w:b/>
        <w:sz w:val="28"/>
      </w:rPr>
      <w:t>DRAFT  –  REVISION IV</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2"/>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2000-09-27T13:42:00Z</dcterms:created>
  <dc:creator>appinst</dc:creator>
  <dc:description/>
  <dc:language>en-CA</dc:language>
  <cp:lastModifiedBy>rconcan</cp:lastModifiedBy>
  <cp:lastPrinted>2000-09-25T19:57:00Z</cp:lastPrinted>
  <dcterms:modified xsi:type="dcterms:W3CDTF">2000-09-27T13:53:00Z</dcterms:modified>
  <cp:revision>3</cp:revision>
  <dc:subject/>
  <dc:title>RUTH CONCANNON</dc:title>
</cp:coreProperties>
</file>