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Europe Limited – Polish Energy Liberalization Issues</w:t>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t>1. There should be no further vertical consolidation in the power sector prior to privatisation.</w:t>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BodyText"/>
        <w:rPr/>
      </w:pPr>
      <w:r>
        <w:rPr/>
        <w:t xml:space="preserve">Vertical consolidation is creating a number of regional, state owned electricity monopolies.  This should be avoided: in other markets, even where competition has successfully been introduced, a high level of market concentration, particularly in local markets, can sustain higher price levels than would otherwise occur.  Poland has a high concentration of industrial (and therefore energy intensive) consumers. A successful and efficient energy industry is therefore key to Poland's prosperity.  This is best brought about by market liberalization that will create competition in generation and supply, and will facilitate knowledge and technology transfer.  </w:t>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t>As Poland approaches accession to the European Union, cross-subsidization of energy use will need to be phased out.  Unless the underlying energy prices are competitive, Polish industry will suffer in international competitiveness.  The creation of vertically integrated companies with local monopoly power is unlikely to deliver the lowest energy prices to Polish consumers.  A policy that seeks to maximize the returns on privatisation can only be at the expense of continued high prices in the post privatisation era.</w:t>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Normal"/>
        <w:autoSpaceDE w:val="false"/>
        <w:spacing w:lineRule="atLeast" w:line="240"/>
        <w:jc w:val="both"/>
        <w:rPr>
          <w:rFonts w:ascii="Tms Rmn;Times New Roman" w:hAnsi="Tms Rmn;Times New Roman" w:cs="Tms Rmn;Times New Roman"/>
          <w:color w:val="0000FF"/>
          <w:sz w:val="20"/>
          <w:lang w:val="en-US"/>
        </w:rPr>
      </w:pPr>
      <w:r>
        <w:rPr>
          <w:rFonts w:cs="Tms Rmn;Times New Roman" w:ascii="Tms Rmn;Times New Roman" w:hAnsi="Tms Rmn;Times New Roman"/>
          <w:color w:val="0000FF"/>
          <w:sz w:val="20"/>
          <w:lang w:val="en-US"/>
        </w:rPr>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t>2. Regulator should avoid imposing tariffs on private, independent producers and suppliers of gas (as is being planned to be the case with power generators and trading companies) and avoid interference in contracts between the state and independent companies.</w:t>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t>New entrant gas producers and suppliers (similar to power trading companies and generators) are by definition operating in a competitive part of the market.  They do not have market power that requires to be regulated in the same way as the incumbents.  If customers are dissatisfied with prices offered compared to the reference tariff price of gas charged by the incumbent, then they will not sign a contract to buy from the new entrant. However, the state currently requires tariffs to be posted and approved in advance.  In the absence of a liquid wholesale market, forward prices are not known and will only begin to emerge gradually as system access and operation rules become clear.  Consequently it is not possible for a new supplier to commit to prices other than in a broad range and a requirement to do so will limit the services and the drive for competition that a new supplier is able to offer.</w:t>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t xml:space="preserve">It also creates a risk that the state will set tariffs at levels which do not cover costs plus a reasonable return on investment.  This will discourage further investment and discount the transfer price of energy related businesses.  This in turn will deter new entry.  </w:t>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t>Another type of risk is related to the Regulator’s unequal application of the tariff policy. The Regulator requires Enron’s Nowa Sarzyna CHP plant (“ENS”)  to have its electricity sales price calculated on the basis of state monopoly gas supplier POGC’s regulated gas tariff, which is approved by Regulator URE. However, POGC is charging ENS the  price for gas quoted in the gas sales agreement which  is higher than the approved tariff, but ENS is not permitted by the regulator to increase its electricity sales price tariff to account for this.  Therefore, ENS is being squeezed between two state monopolies, POGC and PSE (power purchaser), and is being forced to earn uneconomic returns on power production.  This is obviously unacceptable to existing and new investors and their financiers.  It significantly reduces the value of generating assets in Poland and discourages new investment by US and other foreign companies</w:t>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t>3.  Poland should accelerate market restructuring in line with the European Electricity and Gas Directives</w:t>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t>Poland's accession to the EU will create considerable opportunities for Polish businesses and for foreign direct investment in Poland.  It will increase confidence in the Polish commercial and legislative environment.  One of the more complex elements of the accession process is transposition of the energy directives.  Poland should progress this in an open and consultative way, taking account of issues raised by experienced international companies.</w:t>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t>Currently, the market opening process in Poland has effectively come to a halt.  The introduction of an electricity balancing market has been delayed.  The privatisation schedule appears to have been deferred pending consolidation.  This loss of momentum reduces perception of Poland's readiness to join the EU and harms investor confidence.  In particular it may also harm Poland's opportunity to export power to EU member states as negative reciprocity rules can more easily be invoked to block trade, which will specifically damage investor confidence in the power sector.</w:t>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t>A clear plan to transpose the directives will do much to avert this.</w:t>
      </w:r>
    </w:p>
    <w:p>
      <w:pPr>
        <w:pStyle w:val="Normal"/>
        <w:autoSpaceDE w:val="false"/>
        <w:spacing w:lineRule="atLeast" w:line="240"/>
        <w:jc w:val="both"/>
        <w:rPr>
          <w:rFonts w:ascii="Arial" w:hAnsi="Arial" w:cs="Arial"/>
          <w:color w:val="0000FF"/>
          <w:sz w:val="20"/>
          <w:lang w:val="en-US"/>
        </w:rPr>
      </w:pPr>
      <w:r>
        <w:rPr>
          <w:rFonts w:cs="Arial" w:ascii="Arial" w:hAnsi="Arial"/>
          <w:color w:val="0000FF"/>
          <w:sz w:val="20"/>
          <w:lang w:val="en-US"/>
        </w:rPr>
      </w:r>
    </w:p>
    <w:p>
      <w:pPr>
        <w:pStyle w:val="Normal"/>
        <w:jc w:val="both"/>
        <w:rPr>
          <w:rFonts w:ascii="Arial" w:hAnsi="Arial" w:cs="Arial"/>
          <w:color w:val="0000FF"/>
          <w:sz w:val="20"/>
          <w:lang w:val="en-US"/>
        </w:rPr>
      </w:pPr>
      <w:r>
        <w:rPr>
          <w:rFonts w:cs="Arial" w:ascii="Arial" w:hAnsi="Arial"/>
          <w:color w:val="0000FF"/>
          <w:sz w:val="20"/>
          <w:lang w:val="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1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pl-PL" w:bidi="ar-SA" w:eastAsia="zh-CN"/>
    </w:rPr>
  </w:style>
  <w:style w:type="character" w:styleId="DefaultParagraphFont">
    <w:name w:val="Default Paragraph Font"/>
    <w:qFormat/>
    <w:rPr/>
  </w:style>
  <w:style w:type="paragraph" w:styleId="Heading">
    <w:name w:val="Heading"/>
    <w:basedOn w:val="Normal"/>
    <w:next w:val="BodyText"/>
    <w:qFormat/>
    <w:pPr>
      <w:autoSpaceDE w:val="false"/>
      <w:spacing w:lineRule="atLeast" w:line="240"/>
      <w:jc w:val="center"/>
    </w:pPr>
    <w:rPr>
      <w:rFonts w:ascii="Arial" w:hAnsi="Arial" w:cs="Arial"/>
      <w:b/>
      <w:bCs/>
      <w:color w:val="0000FF"/>
      <w:sz w:val="20"/>
      <w:szCs w:val="20"/>
      <w:lang w:val="en-US"/>
    </w:rPr>
  </w:style>
  <w:style w:type="paragraph" w:styleId="BodyText">
    <w:name w:val="Body Text"/>
    <w:basedOn w:val="Normal"/>
    <w:pPr>
      <w:autoSpaceDE w:val="false"/>
      <w:spacing w:lineRule="atLeast" w:line="240"/>
      <w:jc w:val="both"/>
    </w:pPr>
    <w:rPr>
      <w:rFonts w:ascii="Arial" w:hAnsi="Arial" w:cs="Arial"/>
      <w:color w:val="0000FF"/>
      <w:sz w:val="20"/>
      <w:szCs w:val="20"/>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2001-05-25T11:45:00Z</dcterms:created>
  <dc:creator>kforycki</dc:creator>
  <dc:description/>
  <dc:language>en-CA</dc:language>
  <cp:lastModifiedBy>amorriso</cp:lastModifiedBy>
  <cp:lastPrinted>2001-05-24T13:44:00Z</cp:lastPrinted>
  <dcterms:modified xsi:type="dcterms:W3CDTF">2001-05-25T11:45:00Z</dcterms:modified>
  <cp:revision>2</cp:revision>
  <dc:subject/>
  <dc:title>1</dc:title>
</cp:coreProperties>
</file>