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9260" w:type="dxa"/>
        <w:jc w:val="start"/>
        <w:tblInd w:w="-432" w:type="dxa"/>
        <w:tblLayout w:type="fixed"/>
        <w:tblCellMar>
          <w:top w:w="0" w:type="dxa"/>
          <w:start w:w="108" w:type="dxa"/>
          <w:bottom w:w="0" w:type="dxa"/>
          <w:end w:w="108" w:type="dxa"/>
        </w:tblCellMar>
      </w:tblPr>
      <w:tblGrid>
        <w:gridCol w:w="1440"/>
        <w:gridCol w:w="1260"/>
        <w:gridCol w:w="2610"/>
        <w:gridCol w:w="2898"/>
        <w:gridCol w:w="1350"/>
        <w:gridCol w:w="2412"/>
        <w:gridCol w:w="4050"/>
        <w:gridCol w:w="3240"/>
      </w:tblGrid>
      <w:tr>
        <w:trPr/>
        <w:tc>
          <w:tcPr>
            <w:tcW w:w="19260" w:type="dxa"/>
            <w:gridSpan w:val="8"/>
            <w:tcBorders>
              <w:top w:val="single" w:sz="4" w:space="0" w:color="000000"/>
              <w:start w:val="single" w:sz="4" w:space="0" w:color="000000"/>
              <w:bottom w:val="single" w:sz="4" w:space="0" w:color="000000"/>
              <w:end w:val="single" w:sz="4" w:space="0" w:color="000000"/>
            </w:tcBorders>
            <w:shd w:fill="FFFF00" w:val="clear"/>
          </w:tcPr>
          <w:p>
            <w:pPr>
              <w:pStyle w:val="Heading5"/>
              <w:ind w:hanging="0" w:start="0"/>
              <w:rPr>
                <w:i w:val="false"/>
                <w:i w:val="false"/>
                <w:sz w:val="24"/>
              </w:rPr>
            </w:pPr>
            <w:r>
              <w:rPr>
                <w:i w:val="false"/>
                <w:sz w:val="24"/>
              </w:rPr>
              <w:t>Project Objective</w:t>
            </w:r>
          </w:p>
        </w:tc>
      </w:tr>
      <w:tr>
        <w:trPr/>
        <w:tc>
          <w:tcPr>
            <w:tcW w:w="19260" w:type="dxa"/>
            <w:gridSpan w:val="8"/>
            <w:tcBorders>
              <w:top w:val="single" w:sz="4" w:space="0" w:color="000000"/>
              <w:start w:val="single" w:sz="4" w:space="0" w:color="000000"/>
              <w:bottom w:val="single" w:sz="4" w:space="0" w:color="000000"/>
              <w:end w:val="single" w:sz="4" w:space="0" w:color="000000"/>
            </w:tcBorders>
          </w:tcPr>
          <w:p>
            <w:pPr>
              <w:pStyle w:val="BodyText3"/>
              <w:rPr/>
            </w:pPr>
            <w:r>
              <w:rPr/>
              <w:t>The scope of our review is designed to identify and test key control mechanisms within ENA’s Global Risk Management System (GRMS).  Our audit procedures included interviews with key ENA personnel, review and assessment of available policy and procedure documentation and appropriate levels of testing necessary to identify strengths and weaknesses related to the existing control environment.</w:t>
            </w:r>
          </w:p>
        </w:tc>
      </w:tr>
      <w:tr>
        <w:trPr/>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Project Name</w:t>
            </w:r>
          </w:p>
        </w:tc>
        <w:tc>
          <w:tcPr>
            <w:tcW w:w="126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261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898"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35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0"/>
              </w:rPr>
            </w:pPr>
            <w:r>
              <w:rPr>
                <w:b/>
                <w:sz w:val="20"/>
                <w:shd w:fill="FF0000" w:val="clear"/>
              </w:rPr>
              <w:t>Objective Met?</w:t>
            </w:r>
          </w:p>
        </w:tc>
        <w:tc>
          <w:tcPr>
            <w:tcW w:w="2412"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405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324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ind w:end="-18"/>
              <w:jc w:val="center"/>
              <w:rPr>
                <w:b/>
                <w:sz w:val="24"/>
              </w:rPr>
            </w:pPr>
            <w:r>
              <w:rPr>
                <w:b/>
                <w:sz w:val="24"/>
              </w:rPr>
              <w:t>Person &amp; Target Date</w:t>
            </w:r>
          </w:p>
        </w:tc>
      </w:tr>
      <w:tr>
        <w:trPr>
          <w:trHeight w:val="1722"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pacing w:lineRule="auto" w:line="240"/>
              <w:rPr>
                <w:rFonts w:ascii="Book Antiqua" w:hAnsi="Book Antiqua" w:cs="Book Antiqua"/>
                <w:u w:val="single"/>
              </w:rPr>
            </w:pPr>
            <w:r>
              <w:rPr>
                <w:rFonts w:cs="Book Antiqua" w:ascii="Book Antiqua" w:hAnsi="Book Antiqua"/>
                <w:u w:val="single"/>
              </w:rPr>
              <w:t>GRMS</w:t>
            </w:r>
          </w:p>
        </w:tc>
        <w:tc>
          <w:tcPr>
            <w:tcW w:w="12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Systems</w:t>
            </w:r>
          </w:p>
        </w:tc>
        <w:tc>
          <w:tcPr>
            <w:tcW w:w="26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Critical Application</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sz w:val="18"/>
              </w:rPr>
              <w:t>Data is captured, stored, and transferred completely and accurately.</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No</w:t>
            </w:r>
          </w:p>
        </w:tc>
        <w:tc>
          <w:tcPr>
            <w:tcW w:w="2412"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color w:val="000000"/>
                <w:sz w:val="18"/>
                <w:lang w:eastAsia="en-US"/>
              </w:rPr>
              <w:t>An exception report is generated for the transmission of data from the position capture database to the RMS database. This report identifies the Post IDs that did not successfully transmit to RMS due to an error in the mapping of the Post IDs to Book IDs.</w:t>
            </w:r>
          </w:p>
        </w:tc>
        <w:tc>
          <w:tcPr>
            <w:tcW w:w="4050" w:type="dxa"/>
            <w:tcBorders>
              <w:top w:val="single" w:sz="6" w:space="0" w:color="000000"/>
              <w:start w:val="single" w:sz="6" w:space="0" w:color="000000"/>
              <w:bottom w:val="single" w:sz="6" w:space="0" w:color="000000"/>
              <w:end w:val="single" w:sz="6" w:space="0" w:color="000000"/>
            </w:tcBorders>
          </w:tcPr>
          <w:p>
            <w:pPr>
              <w:pStyle w:val="Normal"/>
              <w:numPr>
                <w:ilvl w:val="0"/>
                <w:numId w:val="20"/>
              </w:numPr>
              <w:rPr>
                <w:sz w:val="18"/>
              </w:rPr>
            </w:pPr>
            <w:r>
              <w:rPr>
                <w:color w:val="000000"/>
                <w:sz w:val="18"/>
                <w:lang w:eastAsia="en-US"/>
              </w:rPr>
              <w:t>No process is in place for production support to verify all books have been officialized and have been appropriately incorporated into GRMS.  Reports may contain incomplete data if new deals or books are not officialized by Book Administrators.</w:t>
            </w:r>
          </w:p>
          <w:p>
            <w:pPr>
              <w:pStyle w:val="Normal"/>
              <w:rPr>
                <w:sz w:val="18"/>
              </w:rPr>
            </w:pPr>
            <w:r>
              <w:rPr>
                <w:sz w:val="18"/>
              </w:rPr>
            </w:r>
          </w:p>
          <w:p>
            <w:pPr>
              <w:pStyle w:val="Normal"/>
              <w:numPr>
                <w:ilvl w:val="0"/>
                <w:numId w:val="20"/>
              </w:numPr>
              <w:rPr>
                <w:sz w:val="18"/>
              </w:rPr>
            </w:pPr>
            <w:r>
              <w:rPr>
                <w:color w:val="000000"/>
                <w:sz w:val="18"/>
                <w:lang w:eastAsia="en-US"/>
              </w:rPr>
              <w:t>Automated interface controls are not utilized to verify the completeness and/or accuracy of upstream system data transferred into GRMS. However, manual control checks are performed by users of reports who recognize if "significant" deals have been omitted.</w:t>
            </w:r>
          </w:p>
        </w:tc>
        <w:tc>
          <w:tcPr>
            <w:tcW w:w="3240" w:type="dxa"/>
            <w:tcBorders>
              <w:top w:val="single" w:sz="6" w:space="0" w:color="000000"/>
              <w:start w:val="single" w:sz="6" w:space="0" w:color="000000"/>
              <w:bottom w:val="single" w:sz="6" w:space="0" w:color="000000"/>
              <w:end w:val="single" w:sz="6" w:space="0" w:color="000000"/>
            </w:tcBorders>
          </w:tcPr>
          <w:p>
            <w:pPr>
              <w:pStyle w:val="Normal"/>
              <w:numPr>
                <w:ilvl w:val="0"/>
                <w:numId w:val="15"/>
              </w:numPr>
              <w:rPr>
                <w:sz w:val="18"/>
              </w:rPr>
            </w:pPr>
            <w:r>
              <w:rPr>
                <w:sz w:val="18"/>
              </w:rPr>
              <w:t>A process should be put into place to identify all books which have not been officialized which may have a material effect on the final Benchmark Report or Value at Risk.</w:t>
            </w:r>
          </w:p>
          <w:p>
            <w:pPr>
              <w:pStyle w:val="Normal"/>
              <w:rPr>
                <w:sz w:val="18"/>
              </w:rPr>
            </w:pPr>
            <w:r>
              <w:rPr>
                <w:sz w:val="18"/>
              </w:rPr>
            </w:r>
          </w:p>
          <w:p>
            <w:pPr>
              <w:pStyle w:val="Normal"/>
              <w:rPr>
                <w:sz w:val="18"/>
              </w:rPr>
            </w:pPr>
            <w:r>
              <w:rPr>
                <w:sz w:val="18"/>
              </w:rPr>
            </w:r>
          </w:p>
          <w:p>
            <w:pPr>
              <w:pStyle w:val="Normal"/>
              <w:numPr>
                <w:ilvl w:val="0"/>
                <w:numId w:val="15"/>
              </w:numPr>
              <w:rPr>
                <w:sz w:val="18"/>
              </w:rPr>
            </w:pPr>
            <w:r>
              <w:rPr>
                <w:sz w:val="18"/>
                <w:lang w:eastAsia="en-US"/>
              </w:rPr>
              <w:t>In order to verify the accuracy and completeness of upstream data imported into GRMS, the business should consider the use of automated controls, such as control totals.  To automate these controls, upstream systems would need to provide summed or calculated totals that could be used within GRMS to compare against the transferred data.</w:t>
            </w:r>
          </w:p>
        </w:tc>
      </w:tr>
      <w:tr>
        <w:trPr>
          <w:trHeight w:val="408"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napToGrid w:val="false"/>
              <w:spacing w:lineRule="auto" w:line="240"/>
              <w:rPr>
                <w:rFonts w:ascii="Book Antiqua" w:hAnsi="Book Antiqua" w:cs="Book Antiqua"/>
                <w:sz w:val="18"/>
                <w:u w:val="single"/>
              </w:rPr>
            </w:pPr>
            <w:r>
              <w:rPr>
                <w:rFonts w:cs="Book Antiqua" w:ascii="Book Antiqua" w:hAnsi="Book Antiqua"/>
                <w:sz w:val="18"/>
                <w:u w:val="single"/>
              </w:rPr>
            </w:r>
          </w:p>
        </w:tc>
        <w:tc>
          <w:tcPr>
            <w:tcW w:w="12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snapToGrid w:val="false"/>
              <w:rPr>
                <w:rFonts w:ascii="Book Antiqua" w:hAnsi="Book Antiqua" w:cs="Book Antiqua"/>
                <w:sz w:val="18"/>
                <w:u w:val="single"/>
              </w:rPr>
            </w:pPr>
            <w:r>
              <w:rPr>
                <w:rFonts w:cs="Book Antiqua"/>
                <w:sz w:val="18"/>
                <w:u w:val="single"/>
              </w:rPr>
            </w:r>
          </w:p>
        </w:tc>
        <w:tc>
          <w:tcPr>
            <w:tcW w:w="26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Critical Application</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sz w:val="18"/>
              </w:rPr>
              <w:t>Exception reports are monitored for transmission into the RMS database.</w:t>
            </w:r>
          </w:p>
          <w:p>
            <w:pPr>
              <w:pStyle w:val="EnvelopeReturn"/>
              <w:tabs>
                <w:tab w:val="clear" w:pos="1134"/>
              </w:tabs>
              <w:spacing w:lineRule="auto" w:line="240"/>
              <w:rPr>
                <w:rFonts w:ascii="Book Antiqua" w:hAnsi="Book Antiqua" w:cs="Book Antiqua"/>
                <w:sz w:val="18"/>
              </w:rPr>
            </w:pPr>
            <w:r>
              <w:rPr>
                <w:rFonts w:cs="Book Antiqua" w:ascii="Book Antiqua" w:hAnsi="Book Antiqua"/>
                <w:sz w:val="18"/>
              </w:rPr>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No</w:t>
            </w:r>
          </w:p>
        </w:tc>
        <w:tc>
          <w:tcPr>
            <w:tcW w:w="2412" w:type="dxa"/>
            <w:tcBorders>
              <w:top w:val="single" w:sz="6" w:space="0" w:color="000000"/>
              <w:start w:val="single" w:sz="6" w:space="0" w:color="000000"/>
              <w:bottom w:val="single" w:sz="6" w:space="0" w:color="000000"/>
              <w:end w:val="single" w:sz="6" w:space="0" w:color="000000"/>
            </w:tcBorders>
          </w:tcPr>
          <w:p>
            <w:pPr>
              <w:pStyle w:val="Normal"/>
              <w:numPr>
                <w:ilvl w:val="0"/>
                <w:numId w:val="18"/>
              </w:numPr>
              <w:tabs>
                <w:tab w:val="clear" w:pos="720"/>
                <w:tab w:val="left" w:pos="162" w:leader="none"/>
              </w:tabs>
              <w:rPr>
                <w:sz w:val="18"/>
              </w:rPr>
            </w:pPr>
            <w:r>
              <w:rPr>
                <w:sz w:val="18"/>
              </w:rPr>
              <w:t>None</w:t>
            </w:r>
          </w:p>
        </w:tc>
        <w:tc>
          <w:tcPr>
            <w:tcW w:w="4050" w:type="dxa"/>
            <w:tcBorders>
              <w:top w:val="single" w:sz="6" w:space="0" w:color="000000"/>
              <w:start w:val="single" w:sz="6" w:space="0" w:color="000000"/>
              <w:bottom w:val="single" w:sz="6" w:space="0" w:color="000000"/>
              <w:end w:val="single" w:sz="6" w:space="0" w:color="000000"/>
            </w:tcBorders>
          </w:tcPr>
          <w:p>
            <w:pPr>
              <w:pStyle w:val="Normal"/>
              <w:numPr>
                <w:ilvl w:val="0"/>
                <w:numId w:val="21"/>
              </w:numPr>
              <w:ind w:hanging="288" w:start="288" w:end="0"/>
              <w:rPr>
                <w:color w:val="000000"/>
                <w:sz w:val="18"/>
                <w:lang w:eastAsia="en-US"/>
              </w:rPr>
            </w:pPr>
            <w:r>
              <w:rPr>
                <w:color w:val="000000"/>
                <w:sz w:val="18"/>
                <w:lang w:eastAsia="en-US"/>
              </w:rPr>
              <w:t>There is an exception report which identifies all Post IDs which were not successfully transferred into the RMS database due to incorrect mapping of finalized deals.  This report should be used by the business unit to identify deals which should be corrected and to determine that no material deals are omitted from the final reports.  The business is not currently using this report to ensure completeness of the data transfers.</w:t>
            </w:r>
          </w:p>
          <w:p>
            <w:pPr>
              <w:pStyle w:val="Normal"/>
              <w:rPr>
                <w:color w:val="000000"/>
                <w:sz w:val="18"/>
                <w:lang w:eastAsia="en-US"/>
              </w:rPr>
            </w:pPr>
            <w:r>
              <w:rPr>
                <w:color w:val="000000"/>
                <w:sz w:val="18"/>
                <w:lang w:eastAsia="en-US"/>
              </w:rPr>
            </w:r>
          </w:p>
        </w:tc>
        <w:tc>
          <w:tcPr>
            <w:tcW w:w="3240" w:type="dxa"/>
            <w:tcBorders>
              <w:top w:val="single" w:sz="6" w:space="0" w:color="000000"/>
              <w:start w:val="single" w:sz="6" w:space="0" w:color="000000"/>
              <w:bottom w:val="single" w:sz="6" w:space="0" w:color="000000"/>
              <w:end w:val="single" w:sz="6" w:space="0" w:color="000000"/>
            </w:tcBorders>
          </w:tcPr>
          <w:p>
            <w:pPr>
              <w:pStyle w:val="Normal"/>
              <w:numPr>
                <w:ilvl w:val="0"/>
                <w:numId w:val="20"/>
              </w:numPr>
              <w:ind w:hanging="283" w:start="283" w:end="306"/>
              <w:rPr>
                <w:sz w:val="18"/>
              </w:rPr>
            </w:pPr>
            <w:r>
              <w:rPr>
                <w:sz w:val="18"/>
              </w:rPr>
              <w:t>The business should consider using the exception report to identify deals which have not been successfully transferred into the RMS database.  This report is created as data transfers occur, and could therefore be useful as a tool for confirming accurate transfer on a timely basis.</w:t>
            </w:r>
          </w:p>
        </w:tc>
      </w:tr>
      <w:tr>
        <w:trPr/>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Project Name</w:t>
            </w:r>
          </w:p>
        </w:tc>
        <w:tc>
          <w:tcPr>
            <w:tcW w:w="126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261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898"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35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0"/>
              </w:rPr>
            </w:pPr>
            <w:r>
              <w:rPr>
                <w:b/>
                <w:sz w:val="20"/>
                <w:shd w:fill="FF0000" w:val="clear"/>
              </w:rPr>
              <w:t>Objective Met?</w:t>
            </w:r>
          </w:p>
        </w:tc>
        <w:tc>
          <w:tcPr>
            <w:tcW w:w="2412"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405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324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ind w:end="-18"/>
              <w:jc w:val="center"/>
              <w:rPr>
                <w:b/>
                <w:sz w:val="24"/>
              </w:rPr>
            </w:pPr>
            <w:r>
              <w:rPr>
                <w:b/>
                <w:sz w:val="24"/>
              </w:rPr>
              <w:t>Person &amp; Target Date</w:t>
            </w:r>
          </w:p>
        </w:tc>
      </w:tr>
      <w:tr>
        <w:trPr>
          <w:trHeight w:val="1065"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napToGrid w:val="false"/>
              <w:spacing w:lineRule="auto" w:line="240"/>
              <w:rPr>
                <w:rFonts w:ascii="Book Antiqua" w:hAnsi="Book Antiqua" w:cs="Book Antiqua"/>
                <w:b/>
                <w:sz w:val="24"/>
                <w:u w:val="single"/>
              </w:rPr>
            </w:pPr>
            <w:r>
              <w:rPr>
                <w:rFonts w:cs="Book Antiqua" w:ascii="Book Antiqua" w:hAnsi="Book Antiqua"/>
                <w:b/>
                <w:sz w:val="24"/>
                <w:u w:val="single"/>
              </w:rPr>
            </w:r>
          </w:p>
        </w:tc>
        <w:tc>
          <w:tcPr>
            <w:tcW w:w="12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snapToGrid w:val="false"/>
              <w:rPr>
                <w:rFonts w:ascii="Book Antiqua" w:hAnsi="Book Antiqua" w:cs="Book Antiqua"/>
                <w:sz w:val="18"/>
                <w:u w:val="single"/>
              </w:rPr>
            </w:pPr>
            <w:r>
              <w:rPr>
                <w:rFonts w:cs="Book Antiqua"/>
                <w:sz w:val="18"/>
                <w:u w:val="single"/>
              </w:rPr>
            </w:r>
          </w:p>
        </w:tc>
        <w:tc>
          <w:tcPr>
            <w:tcW w:w="26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 xml:space="preserve">Critical Application, </w:t>
            </w:r>
          </w:p>
          <w:p>
            <w:pPr>
              <w:pStyle w:val="Normal"/>
              <w:tabs>
                <w:tab w:val="clear" w:pos="720"/>
                <w:tab w:val="left" w:pos="2520" w:leader="none"/>
                <w:tab w:val="left" w:pos="2700" w:leader="none"/>
              </w:tabs>
              <w:rPr>
                <w:sz w:val="18"/>
              </w:rPr>
            </w:pPr>
            <w:r>
              <w:rPr>
                <w:sz w:val="18"/>
              </w:rPr>
              <w:t>Access and Security</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sz w:val="18"/>
              </w:rPr>
              <w:t>Logical security provides adequate protection over key applications and/or data.</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Yes</w:t>
            </w:r>
          </w:p>
        </w:tc>
        <w:tc>
          <w:tcPr>
            <w:tcW w:w="2412" w:type="dxa"/>
            <w:tcBorders>
              <w:top w:val="single" w:sz="6" w:space="0" w:color="000000"/>
              <w:start w:val="single" w:sz="6" w:space="0" w:color="000000"/>
              <w:bottom w:val="single" w:sz="6" w:space="0" w:color="000000"/>
              <w:end w:val="single" w:sz="6" w:space="0" w:color="000000"/>
            </w:tcBorders>
          </w:tcPr>
          <w:p>
            <w:pPr>
              <w:pStyle w:val="Normal"/>
              <w:numPr>
                <w:ilvl w:val="0"/>
                <w:numId w:val="21"/>
              </w:numPr>
              <w:ind w:hanging="90" w:start="90" w:end="0"/>
              <w:rPr>
                <w:color w:val="000000"/>
                <w:sz w:val="18"/>
                <w:lang w:eastAsia="en-US"/>
              </w:rPr>
            </w:pPr>
            <w:r>
              <w:rPr>
                <w:color w:val="000000"/>
                <w:sz w:val="18"/>
                <w:lang w:eastAsia="en-US"/>
              </w:rPr>
              <w:t>Printing, forwarding, and copying functionalities have been removed from the Executive Viewer. The capability of screen printing is still available, but the name of the user will be visible on the report.</w:t>
            </w:r>
          </w:p>
          <w:p>
            <w:pPr>
              <w:pStyle w:val="Normal"/>
              <w:rPr>
                <w:color w:val="000000"/>
                <w:sz w:val="18"/>
                <w:lang w:eastAsia="en-US"/>
              </w:rPr>
            </w:pPr>
            <w:r>
              <w:rPr>
                <w:color w:val="000000"/>
                <w:sz w:val="18"/>
                <w:lang w:eastAsia="en-US"/>
              </w:rPr>
            </w:r>
          </w:p>
          <w:p>
            <w:pPr>
              <w:pStyle w:val="Normal"/>
              <w:numPr>
                <w:ilvl w:val="0"/>
                <w:numId w:val="21"/>
              </w:numPr>
              <w:ind w:hanging="90" w:start="90" w:end="0"/>
              <w:rPr>
                <w:color w:val="000000"/>
                <w:sz w:val="18"/>
                <w:lang w:eastAsia="en-US"/>
              </w:rPr>
            </w:pPr>
            <w:r>
              <w:rPr>
                <w:color w:val="000000"/>
                <w:sz w:val="18"/>
                <w:lang w:eastAsia="en-US"/>
              </w:rPr>
              <w:t>There are defined policies and procedures for granting access to view reports on-line and to have the Executive Viewer installed on a user machine. These policies and procedures are defined in SRRS.</w:t>
            </w:r>
          </w:p>
          <w:p>
            <w:pPr>
              <w:pStyle w:val="Normal"/>
              <w:rPr>
                <w:color w:val="000000"/>
                <w:sz w:val="18"/>
                <w:lang w:eastAsia="en-US"/>
              </w:rPr>
            </w:pPr>
            <w:r>
              <w:rPr>
                <w:color w:val="000000"/>
                <w:sz w:val="18"/>
                <w:lang w:eastAsia="en-US"/>
              </w:rPr>
            </w:r>
          </w:p>
          <w:p>
            <w:pPr>
              <w:pStyle w:val="Normal"/>
              <w:numPr>
                <w:ilvl w:val="0"/>
                <w:numId w:val="21"/>
              </w:numPr>
              <w:ind w:hanging="90" w:start="90" w:end="0"/>
              <w:rPr>
                <w:color w:val="000000"/>
                <w:sz w:val="18"/>
                <w:lang w:eastAsia="en-US"/>
              </w:rPr>
            </w:pPr>
            <w:r>
              <w:rPr>
                <w:sz w:val="18"/>
              </w:rPr>
              <w:t>Login IDs and passwords are required to login into the web server to retrieve sensitive information.  The user is only the given the option to select the reports he/she has been given the access to view.</w:t>
            </w:r>
          </w:p>
          <w:p>
            <w:pPr>
              <w:pStyle w:val="Normal"/>
              <w:tabs>
                <w:tab w:val="clear" w:pos="720"/>
                <w:tab w:val="left" w:pos="162" w:leader="none"/>
              </w:tabs>
              <w:rPr>
                <w:color w:val="000000"/>
                <w:sz w:val="18"/>
                <w:lang w:eastAsia="en-US"/>
              </w:rPr>
            </w:pPr>
            <w:r>
              <w:rPr>
                <w:color w:val="000000"/>
                <w:sz w:val="18"/>
                <w:lang w:eastAsia="en-US"/>
              </w:rPr>
            </w:r>
          </w:p>
        </w:tc>
        <w:tc>
          <w:tcPr>
            <w:tcW w:w="4050" w:type="dxa"/>
            <w:tcBorders>
              <w:top w:val="single" w:sz="6" w:space="0" w:color="000000"/>
              <w:start w:val="single" w:sz="6" w:space="0" w:color="000000"/>
              <w:bottom w:val="single" w:sz="6" w:space="0" w:color="000000"/>
              <w:end w:val="single" w:sz="6" w:space="0" w:color="000000"/>
            </w:tcBorders>
          </w:tcPr>
          <w:p>
            <w:pPr>
              <w:pStyle w:val="Normal"/>
              <w:numPr>
                <w:ilvl w:val="0"/>
                <w:numId w:val="21"/>
              </w:numPr>
              <w:ind w:hanging="90" w:start="90" w:end="0"/>
              <w:rPr>
                <w:color w:val="000000"/>
                <w:sz w:val="18"/>
                <w:lang w:eastAsia="en-US"/>
              </w:rPr>
            </w:pPr>
            <w:r>
              <w:rPr>
                <w:color w:val="000000"/>
                <w:sz w:val="18"/>
                <w:lang w:eastAsia="en-US"/>
              </w:rPr>
              <w:t>There are instances of username and password sharing to gain access to the RMS database</w:t>
            </w:r>
          </w:p>
        </w:tc>
        <w:tc>
          <w:tcPr>
            <w:tcW w:w="3240" w:type="dxa"/>
            <w:tcBorders>
              <w:top w:val="single" w:sz="6" w:space="0" w:color="000000"/>
              <w:start w:val="single" w:sz="6" w:space="0" w:color="000000"/>
              <w:bottom w:val="single" w:sz="6" w:space="0" w:color="000000"/>
              <w:end w:val="single" w:sz="6" w:space="0" w:color="000000"/>
            </w:tcBorders>
          </w:tcPr>
          <w:p>
            <w:pPr>
              <w:pStyle w:val="Normal"/>
              <w:numPr>
                <w:ilvl w:val="0"/>
                <w:numId w:val="14"/>
              </w:numPr>
              <w:rPr>
                <w:sz w:val="18"/>
              </w:rPr>
            </w:pPr>
            <w:r>
              <w:rPr>
                <w:sz w:val="18"/>
              </w:rPr>
              <w:t>Require unique Ids and passwords required to gain access to systems resources.</w:t>
            </w:r>
          </w:p>
        </w:tc>
      </w:tr>
    </w:tbl>
    <w:p>
      <w:pPr>
        <w:pStyle w:val="Normal"/>
        <w:rPr/>
      </w:pPr>
      <w:r>
        <w:br w:type="page"/>
      </w:r>
      <w:r>
        <w:rPr/>
      </w:r>
    </w:p>
    <w:tbl>
      <w:tblPr>
        <w:tblW w:w="19260" w:type="dxa"/>
        <w:jc w:val="start"/>
        <w:tblInd w:w="-432" w:type="dxa"/>
        <w:tblLayout w:type="fixed"/>
        <w:tblCellMar>
          <w:top w:w="0" w:type="dxa"/>
          <w:start w:w="108" w:type="dxa"/>
          <w:bottom w:w="0" w:type="dxa"/>
          <w:end w:w="108" w:type="dxa"/>
        </w:tblCellMar>
      </w:tblPr>
      <w:tblGrid>
        <w:gridCol w:w="1440"/>
        <w:gridCol w:w="1260"/>
        <w:gridCol w:w="2610"/>
        <w:gridCol w:w="2898"/>
        <w:gridCol w:w="1350"/>
        <w:gridCol w:w="2412"/>
        <w:gridCol w:w="4050"/>
        <w:gridCol w:w="3240"/>
      </w:tblGrid>
      <w:tr>
        <w:trPr>
          <w:tblHeader w:val="true"/>
        </w:trPr>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Project Name</w:t>
            </w:r>
          </w:p>
        </w:tc>
        <w:tc>
          <w:tcPr>
            <w:tcW w:w="126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261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898"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35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0"/>
              </w:rPr>
            </w:pPr>
            <w:r>
              <w:rPr>
                <w:b/>
                <w:sz w:val="20"/>
                <w:shd w:fill="FF0000" w:val="clear"/>
              </w:rPr>
              <w:t>Objective Met?</w:t>
            </w:r>
          </w:p>
        </w:tc>
        <w:tc>
          <w:tcPr>
            <w:tcW w:w="2412"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405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324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ind w:end="-18"/>
              <w:jc w:val="center"/>
              <w:rPr>
                <w:b/>
                <w:sz w:val="24"/>
              </w:rPr>
            </w:pPr>
            <w:r>
              <w:rPr>
                <w:b/>
                <w:sz w:val="24"/>
              </w:rPr>
              <w:t>Person &amp; Target Date</w:t>
            </w:r>
          </w:p>
        </w:tc>
      </w:tr>
      <w:tr>
        <w:trPr>
          <w:trHeight w:val="408"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napToGrid w:val="false"/>
              <w:spacing w:lineRule="auto" w:line="240"/>
              <w:rPr>
                <w:rFonts w:ascii="Book Antiqua" w:hAnsi="Book Antiqua" w:cs="Book Antiqua"/>
                <w:b/>
                <w:sz w:val="24"/>
                <w:u w:val="single"/>
              </w:rPr>
            </w:pPr>
            <w:r>
              <w:rPr>
                <w:rFonts w:cs="Book Antiqua" w:ascii="Book Antiqua" w:hAnsi="Book Antiqua"/>
                <w:b/>
                <w:sz w:val="24"/>
                <w:u w:val="single"/>
              </w:rPr>
            </w:r>
          </w:p>
          <w:p>
            <w:pPr>
              <w:pStyle w:val="EnvelopeReturn"/>
              <w:tabs>
                <w:tab w:val="clear" w:pos="1134"/>
              </w:tabs>
              <w:spacing w:lineRule="auto" w:line="240"/>
              <w:rPr>
                <w:rFonts w:ascii="Book Antiqua" w:hAnsi="Book Antiqua" w:cs="Book Antiqua"/>
                <w:u w:val="single"/>
              </w:rPr>
            </w:pPr>
            <w:r>
              <w:rPr>
                <w:rFonts w:cs="Book Antiqua" w:ascii="Book Antiqua" w:hAnsi="Book Antiqua"/>
                <w:u w:val="single"/>
              </w:rPr>
            </w:r>
          </w:p>
          <w:p>
            <w:pPr>
              <w:pStyle w:val="EnvelopeReturn"/>
              <w:tabs>
                <w:tab w:val="clear" w:pos="1134"/>
              </w:tabs>
              <w:spacing w:lineRule="auto" w:line="240"/>
              <w:rPr>
                <w:rFonts w:ascii="Book Antiqua" w:hAnsi="Book Antiqua" w:cs="Book Antiqua"/>
                <w:u w:val="single"/>
              </w:rPr>
            </w:pPr>
            <w:r>
              <w:rPr>
                <w:rFonts w:cs="Book Antiqua" w:ascii="Book Antiqua" w:hAnsi="Book Antiqua"/>
                <w:u w:val="single"/>
              </w:rPr>
            </w:r>
          </w:p>
        </w:tc>
        <w:tc>
          <w:tcPr>
            <w:tcW w:w="12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snapToGrid w:val="false"/>
              <w:rPr>
                <w:rFonts w:ascii="Book Antiqua" w:hAnsi="Book Antiqua" w:cs="Book Antiqua"/>
                <w:sz w:val="18"/>
                <w:u w:val="single"/>
              </w:rPr>
            </w:pPr>
            <w:r>
              <w:rPr>
                <w:rFonts w:cs="Book Antiqua"/>
                <w:sz w:val="18"/>
                <w:u w:val="single"/>
              </w:rPr>
            </w:r>
          </w:p>
        </w:tc>
        <w:tc>
          <w:tcPr>
            <w:tcW w:w="26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Critical Application</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sz w:val="18"/>
              </w:rPr>
              <w:t>Appropriate personnel monitor the reports being viewed by the users.</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Yes</w:t>
            </w:r>
          </w:p>
        </w:tc>
        <w:tc>
          <w:tcPr>
            <w:tcW w:w="2412" w:type="dxa"/>
            <w:tcBorders>
              <w:top w:val="single" w:sz="6" w:space="0" w:color="000000"/>
              <w:start w:val="single" w:sz="6" w:space="0" w:color="000000"/>
              <w:bottom w:val="single" w:sz="6" w:space="0" w:color="000000"/>
              <w:end w:val="single" w:sz="6" w:space="0" w:color="000000"/>
            </w:tcBorders>
          </w:tcPr>
          <w:p>
            <w:pPr>
              <w:pStyle w:val="Normal"/>
              <w:numPr>
                <w:ilvl w:val="0"/>
                <w:numId w:val="21"/>
              </w:numPr>
              <w:ind w:hanging="90" w:start="90" w:end="0"/>
              <w:rPr>
                <w:color w:val="000000"/>
                <w:sz w:val="18"/>
                <w:lang w:eastAsia="en-US"/>
              </w:rPr>
            </w:pPr>
            <w:r>
              <w:rPr>
                <w:color w:val="000000"/>
                <w:sz w:val="18"/>
                <w:lang w:eastAsia="en-US"/>
              </w:rPr>
              <w:t>An audit log for the on-line reports is regularly reviewed by the Risk Controls Group. This log identifies the requestor, the report requested, and the time of the request.</w:t>
            </w:r>
          </w:p>
          <w:p>
            <w:pPr>
              <w:pStyle w:val="Normal"/>
              <w:rPr>
                <w:color w:val="000000"/>
                <w:sz w:val="18"/>
                <w:lang w:eastAsia="en-US"/>
              </w:rPr>
            </w:pPr>
            <w:r>
              <w:rPr>
                <w:color w:val="000000"/>
                <w:sz w:val="18"/>
                <w:lang w:eastAsia="en-US"/>
              </w:rPr>
            </w:r>
          </w:p>
        </w:tc>
        <w:tc>
          <w:tcPr>
            <w:tcW w:w="4050" w:type="dxa"/>
            <w:tcBorders>
              <w:top w:val="single" w:sz="6" w:space="0" w:color="000000"/>
              <w:start w:val="single" w:sz="6" w:space="0" w:color="000000"/>
              <w:bottom w:val="single" w:sz="6" w:space="0" w:color="000000"/>
              <w:end w:val="single" w:sz="6" w:space="0" w:color="000000"/>
            </w:tcBorders>
          </w:tcPr>
          <w:p>
            <w:pPr>
              <w:pStyle w:val="Normal"/>
              <w:numPr>
                <w:ilvl w:val="0"/>
                <w:numId w:val="21"/>
              </w:numPr>
              <w:ind w:hanging="180" w:start="180" w:end="0"/>
              <w:rPr>
                <w:sz w:val="18"/>
              </w:rPr>
            </w:pPr>
            <w:r>
              <w:rPr>
                <w:sz w:val="18"/>
              </w:rPr>
              <w:t>None noted</w:t>
            </w:r>
          </w:p>
        </w:tc>
        <w:tc>
          <w:tcPr>
            <w:tcW w:w="324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408"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napToGrid w:val="false"/>
              <w:spacing w:lineRule="auto" w:line="240"/>
              <w:rPr>
                <w:rFonts w:ascii="Book Antiqua" w:hAnsi="Book Antiqua" w:cs="Book Antiqua"/>
                <w:sz w:val="18"/>
                <w:u w:val="single"/>
              </w:rPr>
            </w:pPr>
            <w:r>
              <w:rPr>
                <w:rFonts w:cs="Book Antiqua" w:ascii="Book Antiqua" w:hAnsi="Book Antiqua"/>
                <w:sz w:val="18"/>
                <w:u w:val="single"/>
              </w:rPr>
            </w:r>
          </w:p>
        </w:tc>
        <w:tc>
          <w:tcPr>
            <w:tcW w:w="12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snapToGrid w:val="false"/>
              <w:rPr>
                <w:rFonts w:ascii="Book Antiqua" w:hAnsi="Book Antiqua" w:cs="Book Antiqua"/>
                <w:sz w:val="18"/>
                <w:u w:val="single"/>
              </w:rPr>
            </w:pPr>
            <w:r>
              <w:rPr>
                <w:rFonts w:cs="Book Antiqua"/>
                <w:sz w:val="18"/>
                <w:u w:val="single"/>
              </w:rPr>
            </w:r>
          </w:p>
        </w:tc>
        <w:tc>
          <w:tcPr>
            <w:tcW w:w="26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Critical Application</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sz w:val="18"/>
              </w:rPr>
              <w:t>Backup data is available in the event of a technical problem or disaster.</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Yes</w:t>
            </w:r>
          </w:p>
        </w:tc>
        <w:tc>
          <w:tcPr>
            <w:tcW w:w="2412" w:type="dxa"/>
            <w:tcBorders>
              <w:top w:val="single" w:sz="6" w:space="0" w:color="000000"/>
              <w:start w:val="single" w:sz="6" w:space="0" w:color="000000"/>
              <w:bottom w:val="single" w:sz="6" w:space="0" w:color="000000"/>
              <w:end w:val="single" w:sz="6" w:space="0" w:color="000000"/>
            </w:tcBorders>
          </w:tcPr>
          <w:p>
            <w:pPr>
              <w:pStyle w:val="Normal"/>
              <w:numPr>
                <w:ilvl w:val="0"/>
                <w:numId w:val="21"/>
              </w:numPr>
              <w:ind w:hanging="90" w:start="90" w:end="0"/>
              <w:rPr>
                <w:color w:val="000000"/>
                <w:sz w:val="16"/>
                <w:lang w:eastAsia="en-US"/>
              </w:rPr>
            </w:pPr>
            <w:r>
              <w:rPr>
                <w:color w:val="000000"/>
                <w:sz w:val="18"/>
                <w:lang w:eastAsia="en-US"/>
              </w:rPr>
              <w:t>Data is archived on a regular basis and may be recovered in the event that it is lost or corrupted.</w:t>
            </w:r>
          </w:p>
          <w:p>
            <w:pPr>
              <w:pStyle w:val="Normal"/>
              <w:rPr>
                <w:color w:val="000000"/>
                <w:sz w:val="18"/>
                <w:lang w:eastAsia="en-US"/>
              </w:rPr>
            </w:pPr>
            <w:r>
              <w:rPr>
                <w:color w:val="000000"/>
                <w:sz w:val="18"/>
                <w:lang w:eastAsia="en-US"/>
              </w:rPr>
            </w:r>
          </w:p>
        </w:tc>
        <w:tc>
          <w:tcPr>
            <w:tcW w:w="4050" w:type="dxa"/>
            <w:tcBorders>
              <w:top w:val="single" w:sz="6" w:space="0" w:color="000000"/>
              <w:start w:val="single" w:sz="6" w:space="0" w:color="000000"/>
              <w:bottom w:val="single" w:sz="6" w:space="0" w:color="000000"/>
              <w:end w:val="single" w:sz="6" w:space="0" w:color="000000"/>
            </w:tcBorders>
          </w:tcPr>
          <w:p>
            <w:pPr>
              <w:pStyle w:val="Normal"/>
              <w:numPr>
                <w:ilvl w:val="0"/>
                <w:numId w:val="21"/>
              </w:numPr>
              <w:ind w:hanging="180" w:start="180" w:end="0"/>
              <w:rPr>
                <w:sz w:val="18"/>
              </w:rPr>
            </w:pPr>
            <w:r>
              <w:rPr>
                <w:sz w:val="18"/>
              </w:rPr>
              <w:t>None noted</w:t>
            </w:r>
          </w:p>
        </w:tc>
        <w:tc>
          <w:tcPr>
            <w:tcW w:w="324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1065"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napToGrid w:val="false"/>
              <w:spacing w:lineRule="auto" w:line="240"/>
              <w:rPr>
                <w:rFonts w:ascii="Book Antiqua" w:hAnsi="Book Antiqua" w:cs="Book Antiqua"/>
                <w:sz w:val="18"/>
                <w:u w:val="single"/>
              </w:rPr>
            </w:pPr>
            <w:r>
              <w:rPr>
                <w:rFonts w:cs="Book Antiqua" w:ascii="Book Antiqua" w:hAnsi="Book Antiqua"/>
                <w:sz w:val="18"/>
                <w:u w:val="single"/>
              </w:rPr>
            </w:r>
          </w:p>
        </w:tc>
        <w:tc>
          <w:tcPr>
            <w:tcW w:w="12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snapToGrid w:val="false"/>
              <w:rPr>
                <w:rFonts w:ascii="Book Antiqua" w:hAnsi="Book Antiqua" w:cs="Book Antiqua"/>
                <w:sz w:val="18"/>
                <w:u w:val="single"/>
              </w:rPr>
            </w:pPr>
            <w:r>
              <w:rPr>
                <w:rFonts w:cs="Book Antiqua"/>
                <w:sz w:val="18"/>
                <w:u w:val="single"/>
              </w:rPr>
            </w:r>
          </w:p>
        </w:tc>
        <w:tc>
          <w:tcPr>
            <w:tcW w:w="26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System Availability</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sz w:val="18"/>
              </w:rPr>
              <w:t>Maintain an infrastructure that is able to support the business.</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No</w:t>
            </w:r>
          </w:p>
        </w:tc>
        <w:tc>
          <w:tcPr>
            <w:tcW w:w="2412" w:type="dxa"/>
            <w:tcBorders>
              <w:top w:val="single" w:sz="6" w:space="0" w:color="000000"/>
              <w:start w:val="single" w:sz="6" w:space="0" w:color="000000"/>
              <w:bottom w:val="single" w:sz="6" w:space="0" w:color="000000"/>
              <w:end w:val="single" w:sz="6" w:space="0" w:color="000000"/>
            </w:tcBorders>
          </w:tcPr>
          <w:p>
            <w:pPr>
              <w:pStyle w:val="Normal"/>
              <w:numPr>
                <w:ilvl w:val="0"/>
                <w:numId w:val="19"/>
              </w:numPr>
              <w:tabs>
                <w:tab w:val="clear" w:pos="720"/>
                <w:tab w:val="left" w:pos="162" w:leader="none"/>
              </w:tabs>
              <w:rPr>
                <w:sz w:val="18"/>
              </w:rPr>
            </w:pPr>
            <w:r>
              <w:rPr>
                <w:sz w:val="18"/>
              </w:rPr>
              <w:t>None</w:t>
            </w:r>
          </w:p>
        </w:tc>
        <w:tc>
          <w:tcPr>
            <w:tcW w:w="4050" w:type="dxa"/>
            <w:tcBorders>
              <w:top w:val="single" w:sz="6" w:space="0" w:color="000000"/>
              <w:start w:val="single" w:sz="6" w:space="0" w:color="000000"/>
              <w:bottom w:val="single" w:sz="6" w:space="0" w:color="000000"/>
              <w:end w:val="single" w:sz="6" w:space="0" w:color="000000"/>
            </w:tcBorders>
          </w:tcPr>
          <w:p>
            <w:pPr>
              <w:pStyle w:val="Normal"/>
              <w:numPr>
                <w:ilvl w:val="0"/>
                <w:numId w:val="21"/>
              </w:numPr>
              <w:ind w:hanging="90" w:start="90" w:end="0"/>
              <w:rPr/>
            </w:pPr>
            <w:r>
              <w:rPr>
                <w:color w:val="000000"/>
                <w:sz w:val="18"/>
                <w:lang w:eastAsia="en-US"/>
              </w:rPr>
              <w:t>The GRMS application contains a significant amount of books that are not being utilized. This creates an undo strain on the resources of the system.</w:t>
            </w:r>
          </w:p>
        </w:tc>
        <w:tc>
          <w:tcPr>
            <w:tcW w:w="3240" w:type="dxa"/>
            <w:tcBorders>
              <w:top w:val="single" w:sz="6" w:space="0" w:color="000000"/>
              <w:start w:val="single" w:sz="6" w:space="0" w:color="000000"/>
              <w:bottom w:val="single" w:sz="6" w:space="0" w:color="000000"/>
              <w:end w:val="single" w:sz="6" w:space="0" w:color="000000"/>
            </w:tcBorders>
          </w:tcPr>
          <w:p>
            <w:pPr>
              <w:pStyle w:val="Normal"/>
              <w:numPr>
                <w:ilvl w:val="0"/>
                <w:numId w:val="14"/>
              </w:numPr>
              <w:rPr>
                <w:sz w:val="18"/>
              </w:rPr>
            </w:pPr>
            <w:r>
              <w:rPr>
                <w:sz w:val="18"/>
              </w:rPr>
              <w:t>Identify the books that are not being used and remove them from the GRMS and ERMS application. Create a process to maintain these applications with current books only.</w:t>
            </w:r>
          </w:p>
        </w:tc>
      </w:tr>
    </w:tbl>
    <w:p>
      <w:pPr>
        <w:pStyle w:val="Normal"/>
        <w:rPr/>
      </w:pPr>
      <w:r>
        <w:rPr/>
      </w:r>
    </w:p>
    <w:sectPr>
      <w:headerReference w:type="default" r:id="rId2"/>
      <w:footerReference w:type="default" r:id="rId3"/>
      <w:type w:val="nextPage"/>
      <w:pgSz w:orient="landscape" w:w="20160" w:h="12240"/>
      <w:pgMar w:left="864" w:right="0" w:gutter="0" w:header="720" w:top="1800" w:footer="720" w:bottom="18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pP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959.2pt;mso-position-horizontal:right;mso-position-horizontal-relative:margin">
              <v:fill opacity="0f"/>
              <v:textbox inset="0in,0in,0in,0in">
                <w:txbxContent>
                  <w:p>
                    <w:pPr>
                      <w:pStyle w:val="Footer"/>
                      <w:rPr/>
                    </w:pPr>
                    <w:r>
                      <w:rPr/>
                      <w:fldChar w:fldCharType="begin"/>
                    </w:r>
                    <w:r>
                      <w:rPr/>
                      <w:instrText xml:space="preserve"> PAGE </w:instrText>
                    </w:r>
                    <w:r>
                      <w:rPr/>
                      <w:fldChar w:fldCharType="separate"/>
                    </w:r>
                    <w:r>
                      <w:rPr/>
                      <w:t>3</w:t>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4"/>
      </w:rPr>
    </w:pPr>
    <w:r>
      <w:rPr>
        <w:b/>
        <w:sz w:val="24"/>
      </w:rPr>
      <w:t>ENA-North America/GRMS</w:t>
    </w:r>
  </w:p>
  <w:p>
    <w:pPr>
      <w:pStyle w:val="Normal"/>
      <w:jc w:val="center"/>
      <w:rPr>
        <w:b/>
        <w:sz w:val="24"/>
      </w:rPr>
    </w:pPr>
    <w:r>
      <w:rPr>
        <w:b/>
        <w:sz w:val="24"/>
      </w:rPr>
      <w:t>Business Risk Management (BRM) Project Reporting Format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283"/>
        </w:tabs>
        <w:ind w:start="283" w:hanging="283"/>
      </w:pPr>
      <w:rPr>
        <w:rFonts w:ascii="Symbol" w:hAnsi="Symbol" w:cs="Symbol" w:hint="default"/>
      </w:rPr>
    </w:lvl>
  </w:abstractNum>
  <w:abstractNum w:abstractNumId="12">
    <w:lvl w:ilvl="0">
      <w:start w:val="1"/>
      <w:numFmt w:val="bullet"/>
      <w:lvlText w:val=""/>
      <w:lvlJc w:val="start"/>
      <w:pPr>
        <w:tabs>
          <w:tab w:val="num" w:pos="283"/>
        </w:tabs>
        <w:ind w:start="283" w:hanging="283"/>
      </w:pPr>
      <w:rPr>
        <w:rFonts w:ascii="Symbol" w:hAnsi="Symbol" w:cs="Symbol" w:hint="default"/>
      </w:rPr>
    </w:lvl>
  </w:abstractNum>
  <w:abstractNum w:abstractNumId="13">
    <w:lvl w:ilvl="0">
      <w:start w:val="1"/>
      <w:numFmt w:val="decimal"/>
      <w:lvlText w:val="%1."/>
      <w:lvlJc w:val="start"/>
      <w:pPr>
        <w:tabs>
          <w:tab w:val="num" w:pos="283"/>
        </w:tabs>
        <w:ind w:start="283" w:hanging="283"/>
      </w:pPr>
    </w:lvl>
  </w:abstractNum>
  <w:abstractNum w:abstractNumId="14">
    <w:lvl w:ilvl="0">
      <w:numFmt w:val="bullet"/>
      <w:lvlText w:val="•"/>
      <w:lvlJc w:val="start"/>
      <w:pPr>
        <w:tabs>
          <w:tab w:val="num" w:pos="0"/>
        </w:tabs>
        <w:ind w:start="0" w:hanging="0"/>
      </w:pPr>
      <w:rPr>
        <w:rFonts w:ascii="Book Antiqua" w:hAnsi="Book Antiqua" w:cs="Book Antiqua" w:hint="default"/>
        <w:sz w:val="18"/>
      </w:rPr>
    </w:lvl>
  </w:abstractNum>
  <w:abstractNum w:abstractNumId="15">
    <w:lvl w:ilvl="0">
      <w:start w:val="1"/>
      <w:numFmt w:val="bullet"/>
      <w:lvlText w:val=""/>
      <w:lvlJc w:val="start"/>
      <w:pPr>
        <w:tabs>
          <w:tab w:val="num" w:pos="283"/>
        </w:tabs>
        <w:ind w:start="283" w:hanging="283"/>
      </w:pPr>
      <w:rPr>
        <w:rFonts w:ascii="Symbol" w:hAnsi="Symbol" w:cs="Symbol" w:hint="default"/>
      </w:rPr>
    </w:lvl>
  </w:abstractNum>
  <w:abstractNum w:abstractNumId="16">
    <w:lvl w:ilvl="0">
      <w:start w:val="1"/>
      <w:numFmt w:val="bullet"/>
      <w:lvlText w:val=""/>
      <w:lvlJc w:val="start"/>
      <w:pPr>
        <w:tabs>
          <w:tab w:val="num" w:pos="283"/>
        </w:tabs>
        <w:ind w:start="283" w:hanging="283"/>
      </w:pPr>
      <w:rPr>
        <w:rFonts w:ascii="Symbol" w:hAnsi="Symbol" w:cs="Symbol" w:hint="default"/>
      </w:rPr>
    </w:lvl>
  </w:abstractNum>
  <w:abstractNum w:abstractNumId="17">
    <w:lvl w:ilvl="0">
      <w:start w:val="1"/>
      <w:numFmt w:val="bullet"/>
      <w:lvlText w:val=""/>
      <w:lvlJc w:val="start"/>
      <w:pPr>
        <w:tabs>
          <w:tab w:val="num" w:pos="283"/>
        </w:tabs>
        <w:ind w:start="283" w:hanging="283"/>
      </w:pPr>
      <w:rPr>
        <w:rFonts w:ascii="Symbol" w:hAnsi="Symbol" w:cs="Symbol" w:hint="default"/>
      </w:rPr>
    </w:lvl>
  </w:abstractNum>
  <w:abstractNum w:abstractNumId="18">
    <w:lvl w:ilvl="0">
      <w:start w:val="1"/>
      <w:numFmt w:val="bullet"/>
      <w:lvlText w:val=""/>
      <w:lvlJc w:val="start"/>
      <w:pPr>
        <w:tabs>
          <w:tab w:val="num" w:pos="283"/>
        </w:tabs>
        <w:ind w:start="283" w:hanging="283"/>
      </w:pPr>
      <w:rPr>
        <w:rFonts w:ascii="Symbol" w:hAnsi="Symbol" w:cs="Symbol" w:hint="default"/>
      </w:rPr>
    </w:lvl>
  </w:abstractNum>
  <w:abstractNum w:abstractNumId="19">
    <w:lvl w:ilvl="0">
      <w:start w:val="1"/>
      <w:numFmt w:val="bullet"/>
      <w:lvlText w:val=""/>
      <w:lvlJc w:val="start"/>
      <w:pPr>
        <w:tabs>
          <w:tab w:val="num" w:pos="283"/>
        </w:tabs>
        <w:ind w:start="283" w:hanging="283"/>
      </w:pPr>
      <w:rPr>
        <w:rFonts w:ascii="Symbol" w:hAnsi="Symbol" w:cs="Symbol" w:hint="default"/>
      </w:rPr>
    </w:lvl>
  </w:abstractNum>
  <w:abstractNum w:abstractNumId="20">
    <w:lvl w:ilvl="0">
      <w:start w:val="1"/>
      <w:numFmt w:val="bullet"/>
      <w:lvlText w:val=""/>
      <w:lvlJc w:val="start"/>
      <w:pPr>
        <w:tabs>
          <w:tab w:val="num" w:pos="283"/>
        </w:tabs>
        <w:ind w:start="283" w:hanging="283"/>
      </w:pPr>
      <w:rPr>
        <w:rFonts w:ascii="Symbol" w:hAnsi="Symbol" w:cs="Symbol" w:hint="default"/>
      </w:rPr>
    </w:lvl>
  </w:abstractNum>
  <w:abstractNum w:abstractNumId="21">
    <w:lvl w:ilvl="0">
      <w:numFmt w:val="bullet"/>
      <w:lvlText w:val="•"/>
      <w:lvlJc w:val="start"/>
      <w:pPr>
        <w:tabs>
          <w:tab w:val="num" w:pos="0"/>
        </w:tabs>
        <w:ind w:start="0" w:hanging="0"/>
      </w:pPr>
      <w:rPr>
        <w:rFonts w:ascii="Book Antiqua" w:hAnsi="Book Antiqua" w:cs="Book Antiqua" w:hint="default"/>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i/>
      <w:sz w:val="20"/>
      <w:u w:val="single"/>
    </w:rPr>
  </w:style>
  <w:style w:type="paragraph" w:styleId="Heading5">
    <w:name w:val="heading 5"/>
    <w:basedOn w:val="Normal"/>
    <w:next w:val="Normal"/>
    <w:qFormat/>
    <w:pPr>
      <w:keepNext w:val="true"/>
      <w:widowControl w:val="false"/>
      <w:numPr>
        <w:ilvl w:val="4"/>
        <w:numId w:val="1"/>
      </w:numPr>
      <w:outlineLvl w:val="4"/>
    </w:pPr>
    <w:rPr>
      <w:b/>
      <w:i/>
      <w:sz w:val="28"/>
      <w:lang w:eastAsia="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color w:val="000000"/>
      <w:sz w:val="18"/>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sz w:val="18"/>
    </w:rPr>
  </w:style>
  <w:style w:type="character" w:styleId="WW8Num17z0">
    <w:name w:val="WW8Num17z0"/>
    <w:qFormat/>
    <w:rPr>
      <w:rFonts w:ascii="Symbol" w:hAnsi="Symbol" w:cs="Symbol"/>
    </w:rPr>
  </w:style>
  <w:style w:type="character" w:styleId="WW8Num18z0">
    <w:name w:val="WW8Num18z0"/>
    <w:qFormat/>
    <w:rPr>
      <w:rFonts w:ascii="Symbol" w:hAnsi="Symbol" w:cs="Symbol"/>
      <w:sz w:val="18"/>
    </w:rPr>
  </w:style>
  <w:style w:type="character" w:styleId="WW8Num19z0">
    <w:name w:val="WW8Num19z0"/>
    <w:qFormat/>
    <w:rPr>
      <w:rFonts w:ascii="Book Antiqua" w:hAnsi="Book Antiqua" w:cs="Book Antiqua"/>
      <w:sz w:val="18"/>
    </w:rPr>
  </w:style>
  <w:style w:type="character" w:styleId="WW8Num20z0">
    <w:name w:val="WW8Num20z0"/>
    <w:qFormat/>
    <w:rPr>
      <w:rFonts w:ascii="Symbol" w:hAnsi="Symbol" w:cs="Symbol"/>
      <w:sz w:val="18"/>
    </w:rPr>
  </w:style>
  <w:style w:type="character" w:styleId="WW8Num21z0">
    <w:name w:val="WW8Num21z0"/>
    <w:qFormat/>
    <w:rPr>
      <w:rFonts w:ascii="Book Antiqua" w:hAnsi="Book Antiqua" w:cs="Book Antiqua"/>
      <w:sz w:val="18"/>
    </w:rPr>
  </w:style>
  <w:style w:type="character" w:styleId="WW8Num22z0">
    <w:name w:val="WW8Num22z0"/>
    <w:qFormat/>
    <w:rPr>
      <w:rFonts w:ascii="Book Antiqua" w:hAnsi="Book Antiqua" w:cs="Book Antiqua"/>
      <w:sz w:val="18"/>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Book Antiqua" w:hAnsi="Book Antiqua" w:cs="Book Antiqua"/>
      <w:sz w:val="18"/>
    </w:rPr>
  </w:style>
  <w:style w:type="character" w:styleId="WW8Num33z0">
    <w:name w:val="WW8Num33z0"/>
    <w:qFormat/>
    <w:rPr>
      <w:rFonts w:ascii="Symbol" w:hAnsi="Symbol" w:cs="Symbol"/>
    </w:rPr>
  </w:style>
  <w:style w:type="character" w:styleId="WW8Num34z0">
    <w:name w:val="WW8Num34z0"/>
    <w:qFormat/>
    <w:rPr>
      <w:rFonts w:ascii="Symbol" w:hAnsi="Symbol" w:cs="Symbol"/>
      <w:sz w:val="18"/>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sz w:val="18"/>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Book Antiqua" w:hAnsi="Book Antiqua" w:cs="Book Antiqua"/>
      <w:sz w:val="18"/>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Book Antiqua" w:hAnsi="Book Antiqua" w:cs="Book Antiqua"/>
      <w:sz w:val="18"/>
    </w:rPr>
  </w:style>
  <w:style w:type="character" w:styleId="WW8Num62z0">
    <w:name w:val="WW8Num62z0"/>
    <w:qFormat/>
    <w:rPr>
      <w:rFonts w:ascii="Symbol" w:hAnsi="Symbol" w:cs="Symbol"/>
    </w:rPr>
  </w:style>
  <w:style w:type="character" w:styleId="WW8Num63z0">
    <w:name w:val="WW8Num63z0"/>
    <w:qFormat/>
    <w:rPr>
      <w:rFonts w:ascii="Symbol" w:hAnsi="Symbol" w:cs="Symbol"/>
      <w:color w:val="auto"/>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color w:val="auto"/>
    </w:rPr>
  </w:style>
  <w:style w:type="character" w:styleId="WW8Num70z0">
    <w:name w:val="WW8Num70z0"/>
    <w:qFormat/>
    <w:rPr>
      <w:rFonts w:ascii="Symbol" w:hAnsi="Symbol" w:cs="Symbol"/>
      <w:sz w:val="18"/>
    </w:rPr>
  </w:style>
  <w:style w:type="character" w:styleId="WW8Num72z0">
    <w:name w:val="WW8Num72z0"/>
    <w:qFormat/>
    <w:rPr>
      <w:rFonts w:ascii="Symbol" w:hAnsi="Symbol" w:cs="Symbol"/>
      <w:color w:val="auto"/>
    </w:rPr>
  </w:style>
  <w:style w:type="character" w:styleId="WW8Num73z0">
    <w:name w:val="WW8Num73z0"/>
    <w:qFormat/>
    <w:rPr>
      <w:rFonts w:ascii="Book Antiqua" w:hAnsi="Book Antiqua" w:cs="Book Antiqua"/>
      <w:sz w:val="18"/>
    </w:rPr>
  </w:style>
  <w:style w:type="character" w:styleId="WW8Num74z0">
    <w:name w:val="WW8Num74z0"/>
    <w:qFormat/>
    <w:rPr>
      <w:rFonts w:ascii="Book Antiqua" w:hAnsi="Book Antiqua" w:cs="Book Antiqua"/>
      <w:sz w:val="18"/>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sz w:val="18"/>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color w:val="auto"/>
    </w:rPr>
  </w:style>
  <w:style w:type="character" w:styleId="WW8Num82z0">
    <w:name w:val="WW8Num82z0"/>
    <w:qFormat/>
    <w:rPr>
      <w:rFonts w:ascii="Symbol" w:hAnsi="Symbol" w:cs="Symbol"/>
    </w:rPr>
  </w:style>
  <w:style w:type="character" w:styleId="WW8Num83z0">
    <w:name w:val="WW8Num83z0"/>
    <w:qFormat/>
    <w:rPr>
      <w:rFonts w:ascii="Symbol" w:hAnsi="Symbol" w:cs="Symbol"/>
      <w:color w:val="auto"/>
    </w:rPr>
  </w:style>
  <w:style w:type="character" w:styleId="WW8Num84z0">
    <w:name w:val="WW8Num84z0"/>
    <w:qFormat/>
    <w:rPr>
      <w:rFonts w:ascii="Symbol" w:hAnsi="Symbol" w:cs="Symbol"/>
      <w:color w:val="auto"/>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sz w:val="18"/>
    </w:rPr>
  </w:style>
  <w:style w:type="character" w:styleId="WW8Num91z0">
    <w:name w:val="WW8Num91z0"/>
    <w:qFormat/>
    <w:rPr>
      <w:rFonts w:ascii="Symbol" w:hAnsi="Symbol" w:cs="Symbol"/>
    </w:rPr>
  </w:style>
  <w:style w:type="character" w:styleId="WW8Num93z0">
    <w:name w:val="WW8Num93z0"/>
    <w:qFormat/>
    <w:rPr>
      <w:rFonts w:ascii="Book Antiqua" w:hAnsi="Book Antiqua" w:cs="Book Antiqua"/>
      <w:sz w:val="18"/>
    </w:rPr>
  </w:style>
  <w:style w:type="character" w:styleId="WW8Num94z0">
    <w:name w:val="WW8Num94z0"/>
    <w:qFormat/>
    <w:rPr>
      <w:rFonts w:ascii="Book Antiqua" w:hAnsi="Book Antiqua" w:cs="Book Antiqua"/>
      <w:sz w:val="18"/>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sz w:val="18"/>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sz w:val="18"/>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sz w:val="18"/>
    </w:rPr>
  </w:style>
  <w:style w:type="character" w:styleId="WW8Num113z0">
    <w:name w:val="WW8Num113z0"/>
    <w:qFormat/>
    <w:rPr>
      <w:rFonts w:ascii="Symbol" w:hAnsi="Symbol" w:cs="Symbol"/>
      <w:color w:val="auto"/>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Book Antiqua" w:hAnsi="Book Antiqua" w:cs="Book Antiqua"/>
      <w:sz w:val="18"/>
    </w:rPr>
  </w:style>
  <w:style w:type="character" w:styleId="WW8Num117z0">
    <w:name w:val="WW8Num117z0"/>
    <w:qFormat/>
    <w:rPr>
      <w:rFonts w:ascii="Symbol" w:hAnsi="Symbol" w:cs="Symbol"/>
    </w:rPr>
  </w:style>
  <w:style w:type="character" w:styleId="WW8Num118z0">
    <w:name w:val="WW8Num118z0"/>
    <w:qFormat/>
    <w:rPr>
      <w:rFonts w:ascii="Symbol" w:hAnsi="Symbol" w:cs="Symbol"/>
      <w:sz w:val="18"/>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sz w:val="18"/>
    </w:rPr>
  </w:style>
  <w:style w:type="character" w:styleId="WW8Num124z0">
    <w:name w:val="WW8Num124z0"/>
    <w:qFormat/>
    <w:rPr>
      <w:rFonts w:ascii="Symbol" w:hAnsi="Symbol" w:cs="Symbol"/>
    </w:rPr>
  </w:style>
  <w:style w:type="character" w:styleId="WW8Num125z0">
    <w:name w:val="WW8Num125z0"/>
    <w:qFormat/>
    <w:rPr>
      <w:rFonts w:ascii="Symbol" w:hAnsi="Symbol" w:cs="Symbol"/>
      <w:sz w:val="18"/>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sz w:val="16"/>
    </w:rPr>
  </w:style>
  <w:style w:type="character" w:styleId="WW8Num129z0">
    <w:name w:val="WW8Num129z0"/>
    <w:qFormat/>
    <w:rPr>
      <w:rFonts w:ascii="Symbol" w:hAnsi="Symbol" w:cs="Symbol"/>
      <w:color w:val="auto"/>
    </w:rPr>
  </w:style>
  <w:style w:type="character" w:styleId="WW8Num130z0">
    <w:name w:val="WW8Num130z0"/>
    <w:qFormat/>
    <w:rPr>
      <w:rFonts w:ascii="Symbol" w:hAnsi="Symbol" w:cs="Symbol"/>
    </w:rPr>
  </w:style>
  <w:style w:type="character" w:styleId="WW8Num131z0">
    <w:name w:val="WW8Num131z0"/>
    <w:qFormat/>
    <w:rPr>
      <w:rFonts w:ascii="Symbol" w:hAnsi="Symbol" w:cs="Symbol"/>
      <w:sz w:val="18"/>
    </w:rPr>
  </w:style>
  <w:style w:type="character" w:styleId="WW8Num132z0">
    <w:name w:val="WW8Num132z0"/>
    <w:qFormat/>
    <w:rPr>
      <w:rFonts w:ascii="Symbol" w:hAnsi="Symbol" w:cs="Symbol"/>
      <w:sz w:val="16"/>
    </w:rPr>
  </w:style>
  <w:style w:type="character" w:styleId="WW8Num133z0">
    <w:name w:val="WW8Num133z0"/>
    <w:qFormat/>
    <w:rPr>
      <w:rFonts w:ascii="Symbol" w:hAnsi="Symbol" w:cs="Symbol"/>
      <w:color w:val="auto"/>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sz w:val="18"/>
    </w:rPr>
  </w:style>
  <w:style w:type="character" w:styleId="WW8Num138z0">
    <w:name w:val="WW8Num138z0"/>
    <w:qFormat/>
    <w:rPr>
      <w:rFonts w:ascii="Symbol" w:hAnsi="Symbol" w:cs="Symbol"/>
      <w:color w:val="auto"/>
    </w:rPr>
  </w:style>
  <w:style w:type="character" w:styleId="WW8Num139z0">
    <w:name w:val="WW8Num139z0"/>
    <w:qFormat/>
    <w:rPr>
      <w:rFonts w:ascii="Symbol" w:hAnsi="Symbol" w:cs="Symbol"/>
    </w:rPr>
  </w:style>
  <w:style w:type="character" w:styleId="WW8Num140z0">
    <w:name w:val="WW8Num140z0"/>
    <w:qFormat/>
    <w:rPr>
      <w:rFonts w:ascii="Book Antiqua" w:hAnsi="Book Antiqua" w:cs="Book Antiqua"/>
      <w:sz w:val="18"/>
    </w:rPr>
  </w:style>
  <w:style w:type="character" w:styleId="WW8Num141z0">
    <w:name w:val="WW8Num141z0"/>
    <w:qFormat/>
    <w:rPr>
      <w:rFonts w:ascii="Book Antiqua" w:hAnsi="Book Antiqua" w:cs="Book Antiqua"/>
      <w:sz w:val="18"/>
    </w:rPr>
  </w:style>
  <w:style w:type="character" w:styleId="WW8Num142z0">
    <w:name w:val="WW8Num142z0"/>
    <w:qFormat/>
    <w:rPr>
      <w:rFonts w:ascii="Symbol" w:hAnsi="Symbol" w:cs="Symbol"/>
      <w:sz w:val="16"/>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sz w:val="18"/>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Book Antiqua" w:hAnsi="Book Antiqua" w:cs="Book Antiqua"/>
      <w:sz w:val="18"/>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Book Antiqua" w:hAnsi="Book Antiqua" w:cs="Book Antiqua"/>
      <w:sz w:val="18"/>
    </w:rPr>
  </w:style>
  <w:style w:type="character" w:styleId="WW8Num158z0">
    <w:name w:val="WW8Num158z0"/>
    <w:qFormat/>
    <w:rPr>
      <w:rFonts w:ascii="Book Antiqua" w:hAnsi="Book Antiqua" w:cs="Book Antiqua"/>
      <w:sz w:val="18"/>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70z0">
    <w:name w:val="WW8Num170z0"/>
    <w:qFormat/>
    <w:rPr>
      <w:rFonts w:ascii="Symbol" w:hAnsi="Symbol" w:cs="Symbol"/>
      <w:color w:val="auto"/>
    </w:rPr>
  </w:style>
  <w:style w:type="character" w:styleId="WW8Num171z0">
    <w:name w:val="WW8Num171z0"/>
    <w:qFormat/>
    <w:rPr>
      <w:rFonts w:ascii="Symbol" w:hAnsi="Symbol" w:cs="Symbol"/>
      <w:sz w:val="18"/>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sz w:val="18"/>
    </w:rPr>
  </w:style>
  <w:style w:type="character" w:styleId="WW8Num179z0">
    <w:name w:val="WW8Num179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sz w:val="18"/>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sz w:val="18"/>
    </w:rPr>
  </w:style>
  <w:style w:type="character" w:styleId="WW8Num189z0">
    <w:name w:val="WW8Num189z0"/>
    <w:qFormat/>
    <w:rPr>
      <w:rFonts w:ascii="Symbol" w:hAnsi="Symbol" w:cs="Symbol"/>
      <w:color w:val="000000"/>
      <w:sz w:val="18"/>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Book Antiqua" w:hAnsi="Book Antiqua" w:cs="Book Antiqua"/>
      <w:sz w:val="18"/>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sz w:val="18"/>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color w:val="auto"/>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sz w:val="18"/>
    </w:rPr>
  </w:style>
  <w:style w:type="character" w:styleId="WW8Num210z0">
    <w:name w:val="WW8Num210z0"/>
    <w:qFormat/>
    <w:rPr>
      <w:rFonts w:ascii="Symbol" w:hAnsi="Symbol" w:cs="Symbol"/>
      <w:sz w:val="18"/>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sz w:val="18"/>
    </w:rPr>
  </w:style>
  <w:style w:type="character" w:styleId="WW8Num217z0">
    <w:name w:val="WW8Num217z0"/>
    <w:qFormat/>
    <w:rPr>
      <w:rFonts w:ascii="Symbol" w:hAnsi="Symbol" w:cs="Symbol"/>
      <w:sz w:val="18"/>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Book Antiqua" w:hAnsi="Book Antiqua" w:cs="Book Antiqua"/>
      <w:sz w:val="18"/>
    </w:rPr>
  </w:style>
  <w:style w:type="character" w:styleId="WW8Num221z0">
    <w:name w:val="WW8Num221z0"/>
    <w:qFormat/>
    <w:rPr>
      <w:rFonts w:ascii="Symbol" w:hAnsi="Symbol" w:cs="Symbol"/>
      <w:color w:val="auto"/>
    </w:rPr>
  </w:style>
  <w:style w:type="character" w:styleId="WW8Num222z0">
    <w:name w:val="WW8Num222z0"/>
    <w:qFormat/>
    <w:rPr>
      <w:rFonts w:ascii="Book Antiqua" w:hAnsi="Book Antiqua" w:cs="Book Antiqua"/>
      <w:sz w:val="18"/>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sz w:val="18"/>
    </w:rPr>
  </w:style>
  <w:style w:type="character" w:styleId="WW8Num226z0">
    <w:name w:val="WW8Num226z0"/>
    <w:qFormat/>
    <w:rPr>
      <w:rFonts w:ascii="Symbol" w:hAnsi="Symbol" w:cs="Symbol"/>
      <w:color w:val="auto"/>
    </w:rPr>
  </w:style>
  <w:style w:type="character" w:styleId="WW8Num227z0">
    <w:name w:val="WW8Num227z0"/>
    <w:qFormat/>
    <w:rPr>
      <w:rFonts w:ascii="Symbol" w:hAnsi="Symbol" w:cs="Symbol"/>
      <w:color w:val="auto"/>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sz w:val="18"/>
    </w:rPr>
  </w:style>
  <w:style w:type="character" w:styleId="WW8Num232z0">
    <w:name w:val="WW8Num232z0"/>
    <w:qFormat/>
    <w:rPr>
      <w:rFonts w:ascii="Symbol" w:hAnsi="Symbol" w:cs="Symbol"/>
      <w:sz w:val="18"/>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sz w:val="16"/>
    </w:rPr>
  </w:style>
  <w:style w:type="character" w:styleId="WW8Num243z0">
    <w:name w:val="WW8Num243z0"/>
    <w:qFormat/>
    <w:rPr>
      <w:rFonts w:ascii="Book Antiqua" w:hAnsi="Book Antiqua" w:cs="Book Antiqua"/>
      <w:sz w:val="18"/>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sz w:val="18"/>
    </w:rPr>
  </w:style>
  <w:style w:type="character" w:styleId="WW8Num255z0">
    <w:name w:val="WW8Num255z0"/>
    <w:qFormat/>
    <w:rPr>
      <w:rFonts w:ascii="Symbol" w:hAnsi="Symbol" w:cs="Symbol"/>
    </w:rPr>
  </w:style>
  <w:style w:type="character" w:styleId="WW8Num256z0">
    <w:name w:val="WW8Num256z0"/>
    <w:qFormat/>
    <w:rPr>
      <w:rFonts w:ascii="Wingdings" w:hAnsi="Wingdings" w:cs="Wingdings"/>
      <w:sz w:val="16"/>
    </w:rPr>
  </w:style>
  <w:style w:type="character" w:styleId="WW8NumSt1z0">
    <w:name w:val="WW8NumSt1z0"/>
    <w:qFormat/>
    <w:rPr>
      <w:rFonts w:ascii="Symbol" w:hAnsi="Symbol" w:cs="Symbol"/>
    </w:rPr>
  </w:style>
  <w:style w:type="character" w:styleId="WW8NumSt2z0">
    <w:name w:val="WW8NumSt2z0"/>
    <w:qFormat/>
    <w:rPr>
      <w:rFonts w:ascii="Book Antiqua" w:hAnsi="Book Antiqua" w:cs="Book Antiqua"/>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18"/>
      <w:lang w:eastAsia="en-US"/>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1134" w:leader="none"/>
      </w:tabs>
      <w:spacing w:lineRule="atLeast" w:line="280"/>
    </w:pPr>
    <w:rPr>
      <w:rFonts w:ascii="Times New Roman" w:hAnsi="Times New Roman" w:cs="Times New Roman"/>
      <w:b/>
    </w:rPr>
  </w:style>
  <w:style w:type="paragraph" w:styleId="Index">
    <w:name w:val="Index"/>
    <w:basedOn w:val="Normal"/>
    <w:qFormat/>
    <w:pPr>
      <w:suppressLineNumbers/>
    </w:pPr>
    <w:rPr>
      <w:rFonts w:cs="NotoSans NF"/>
    </w:rPr>
  </w:style>
  <w:style w:type="paragraph" w:styleId="MacroText">
    <w:name w:val="Macro Text"/>
    <w:qFormat/>
    <w:pPr>
      <w:widowControl/>
      <w:bidi w:val="0"/>
    </w:pPr>
    <w:rPr>
      <w:rFonts w:ascii="Book Antiqua" w:hAnsi="Book Antiqua" w:eastAsia="Times New Roman" w:cs="Book Antiqua"/>
      <w:color w:val="auto"/>
      <w:sz w:val="16"/>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IOCNORMAL">
    <w:name w:val="AIOC NORMAL"/>
    <w:basedOn w:val="Normal"/>
    <w:qFormat/>
    <w:pPr>
      <w:tabs>
        <w:tab w:val="clear" w:pos="720"/>
        <w:tab w:val="left" w:pos="1440" w:leader="none"/>
      </w:tabs>
    </w:pPr>
    <w:rPr/>
  </w:style>
  <w:style w:type="paragraph" w:styleId="ListBullet">
    <w:name w:val="List Bullet"/>
    <w:basedOn w:val="Normal"/>
    <w:qFormat/>
    <w:pPr>
      <w:numPr>
        <w:ilvl w:val="0"/>
        <w:numId w:val="10"/>
      </w:numPr>
      <w:tabs>
        <w:tab w:val="clear" w:pos="720"/>
        <w:tab w:val="left" w:pos="284" w:leader="none"/>
        <w:tab w:val="left" w:pos="1134" w:leader="none"/>
      </w:tabs>
      <w:spacing w:lineRule="atLeast" w:line="280"/>
      <w:ind w:hanging="284" w:start="284" w:end="0"/>
    </w:pPr>
    <w:rPr>
      <w:rFonts w:ascii="Times New Roman" w:hAnsi="Times New Roman" w:cs="Times New Roman"/>
    </w:rPr>
  </w:style>
  <w:style w:type="paragraph" w:styleId="ListBullet2">
    <w:name w:val="List Bullet 2"/>
    <w:basedOn w:val="Normal"/>
    <w:qFormat/>
    <w:pPr>
      <w:numPr>
        <w:ilvl w:val="0"/>
        <w:numId w:val="8"/>
      </w:numPr>
      <w:tabs>
        <w:tab w:val="clear" w:pos="720"/>
        <w:tab w:val="left" w:pos="567" w:leader="none"/>
        <w:tab w:val="left" w:pos="1134" w:leader="none"/>
      </w:tabs>
      <w:spacing w:lineRule="atLeast" w:line="280"/>
      <w:ind w:hanging="284" w:start="851" w:end="0"/>
    </w:pPr>
    <w:rPr>
      <w:rFonts w:ascii="Times New Roman" w:hAnsi="Times New Roman" w:cs="Times New Roman"/>
    </w:rPr>
  </w:style>
  <w:style w:type="paragraph" w:styleId="ListBullet3">
    <w:name w:val="List Bullet 3"/>
    <w:basedOn w:val="Normal"/>
    <w:qFormat/>
    <w:pPr>
      <w:numPr>
        <w:ilvl w:val="0"/>
        <w:numId w:val="12"/>
      </w:numPr>
      <w:tabs>
        <w:tab w:val="clear" w:pos="720"/>
        <w:tab w:val="left" w:pos="851" w:leader="none"/>
        <w:tab w:val="left" w:pos="1134" w:leader="none"/>
      </w:tabs>
      <w:spacing w:lineRule="atLeast" w:line="280"/>
    </w:pPr>
    <w:rPr/>
  </w:style>
  <w:style w:type="paragraph" w:styleId="ListBullet4">
    <w:name w:val="List Bullet 4"/>
    <w:basedOn w:val="Normal"/>
    <w:qFormat/>
    <w:pPr>
      <w:numPr>
        <w:ilvl w:val="0"/>
        <w:numId w:val="7"/>
      </w:numPr>
      <w:tabs>
        <w:tab w:val="clear" w:pos="720"/>
        <w:tab w:val="left" w:pos="1134" w:leader="none"/>
      </w:tabs>
      <w:spacing w:lineRule="atLeast" w:line="280"/>
      <w:ind w:hanging="284" w:start="1418" w:end="0"/>
    </w:pPr>
    <w:rPr>
      <w:rFonts w:ascii="Times New Roman" w:hAnsi="Times New Roman" w:cs="Times New Roman"/>
    </w:rPr>
  </w:style>
  <w:style w:type="paragraph" w:styleId="ListNumber">
    <w:name w:val="List Number"/>
    <w:basedOn w:val="Normal"/>
    <w:qFormat/>
    <w:pPr>
      <w:numPr>
        <w:ilvl w:val="0"/>
        <w:numId w:val="9"/>
      </w:numPr>
      <w:tabs>
        <w:tab w:val="clear" w:pos="720"/>
        <w:tab w:val="left" w:pos="284" w:leader="none"/>
        <w:tab w:val="left" w:pos="1134" w:leader="none"/>
      </w:tabs>
      <w:spacing w:lineRule="atLeast" w:line="280"/>
      <w:ind w:hanging="284" w:start="284" w:end="0"/>
    </w:pPr>
    <w:rPr>
      <w:rFonts w:ascii="Times New Roman" w:hAnsi="Times New Roman" w:cs="Times New Roman"/>
    </w:rPr>
  </w:style>
  <w:style w:type="paragraph" w:styleId="ListNumber2">
    <w:name w:val="List Number 2"/>
    <w:basedOn w:val="Normal"/>
    <w:qFormat/>
    <w:pPr>
      <w:numPr>
        <w:ilvl w:val="0"/>
        <w:numId w:val="5"/>
      </w:numPr>
      <w:tabs>
        <w:tab w:val="clear" w:pos="720"/>
        <w:tab w:val="left" w:pos="567" w:leader="none"/>
        <w:tab w:val="left" w:pos="1134" w:leader="none"/>
      </w:tabs>
      <w:spacing w:lineRule="atLeast" w:line="280"/>
      <w:ind w:hanging="284" w:start="851" w:end="0"/>
    </w:pPr>
    <w:rPr>
      <w:rFonts w:ascii="Times New Roman" w:hAnsi="Times New Roman" w:cs="Times New Roman"/>
    </w:rPr>
  </w:style>
  <w:style w:type="paragraph" w:styleId="ListNumber3">
    <w:name w:val="List Number 3"/>
    <w:basedOn w:val="Normal"/>
    <w:qFormat/>
    <w:pPr>
      <w:numPr>
        <w:ilvl w:val="0"/>
        <w:numId w:val="4"/>
      </w:numPr>
      <w:tabs>
        <w:tab w:val="clear" w:pos="720"/>
        <w:tab w:val="left" w:pos="851" w:leader="none"/>
        <w:tab w:val="left" w:pos="1134" w:leader="none"/>
      </w:tabs>
      <w:spacing w:lineRule="atLeast" w:line="280"/>
      <w:ind w:hanging="284" w:start="1135" w:end="0"/>
    </w:pPr>
    <w:rPr>
      <w:rFonts w:ascii="Times New Roman" w:hAnsi="Times New Roman" w:cs="Times New Roman"/>
    </w:rPr>
  </w:style>
  <w:style w:type="paragraph" w:styleId="ListNumber5">
    <w:name w:val="List Number 5"/>
    <w:basedOn w:val="Normal"/>
    <w:qFormat/>
    <w:pPr>
      <w:numPr>
        <w:ilvl w:val="0"/>
        <w:numId w:val="2"/>
      </w:numPr>
      <w:tabs>
        <w:tab w:val="clear" w:pos="720"/>
        <w:tab w:val="left" w:pos="1134" w:leader="none"/>
        <w:tab w:val="left" w:pos="1418" w:leader="none"/>
      </w:tabs>
      <w:spacing w:lineRule="atLeast" w:line="280"/>
      <w:ind w:hanging="284" w:start="1418" w:end="0"/>
    </w:pPr>
    <w:rPr>
      <w:rFonts w:ascii="Times New Roman" w:hAnsi="Times New Roman" w:cs="Times New Roman"/>
    </w:rPr>
  </w:style>
  <w:style w:type="paragraph" w:styleId="ListNumber4">
    <w:name w:val="List Number 4"/>
    <w:basedOn w:val="Normal"/>
    <w:qFormat/>
    <w:pPr>
      <w:numPr>
        <w:ilvl w:val="0"/>
        <w:numId w:val="3"/>
      </w:numPr>
      <w:tabs>
        <w:tab w:val="clear" w:pos="720"/>
        <w:tab w:val="left" w:pos="1134" w:leader="none"/>
        <w:tab w:val="left" w:pos="1418" w:leader="none"/>
      </w:tabs>
      <w:spacing w:lineRule="atLeast" w:line="280"/>
      <w:ind w:hanging="0" w:start="1209" w:end="0"/>
    </w:pPr>
    <w:rPr>
      <w:rFonts w:ascii="Times New Roman" w:hAnsi="Times New Roman" w:cs="Times New Roman"/>
    </w:rPr>
  </w:style>
  <w:style w:type="paragraph" w:styleId="ListBullet5">
    <w:name w:val="List Bullet 5"/>
    <w:basedOn w:val="Normal"/>
    <w:qFormat/>
    <w:pPr>
      <w:numPr>
        <w:ilvl w:val="0"/>
        <w:numId w:val="6"/>
      </w:numPr>
      <w:tabs>
        <w:tab w:val="clear" w:pos="720"/>
        <w:tab w:val="left" w:pos="1134" w:leader="none"/>
        <w:tab w:val="left" w:pos="1418" w:leader="none"/>
      </w:tabs>
      <w:spacing w:lineRule="atLeast" w:line="280"/>
      <w:ind w:hanging="284" w:start="1702" w:end="0"/>
    </w:pPr>
    <w:rPr>
      <w:rFonts w:ascii="Times New Roman" w:hAnsi="Times New Roman" w:cs="Times New Roman"/>
    </w:rPr>
  </w:style>
  <w:style w:type="paragraph" w:styleId="AA1stlevelbullet">
    <w:name w:val="AA 1st level bullet"/>
    <w:basedOn w:val="Normal"/>
    <w:qFormat/>
    <w:pPr>
      <w:numPr>
        <w:ilvl w:val="0"/>
        <w:numId w:val="16"/>
      </w:numPr>
      <w:tabs>
        <w:tab w:val="clear" w:pos="720"/>
      </w:tabs>
      <w:spacing w:lineRule="atLeast" w:line="280"/>
      <w:ind w:hanging="284" w:start="284" w:end="0"/>
    </w:pPr>
    <w:rPr>
      <w:rFonts w:ascii="Times New Roman" w:hAnsi="Times New Roman" w:cs="Times New Roman"/>
    </w:rPr>
  </w:style>
  <w:style w:type="paragraph" w:styleId="AA2ndlevelbullet">
    <w:name w:val="AA 2nd level bullet"/>
    <w:basedOn w:val="AA1stlevelbullet"/>
    <w:qFormat/>
    <w:pPr>
      <w:numPr>
        <w:ilvl w:val="0"/>
        <w:numId w:val="17"/>
      </w:numPr>
      <w:tabs>
        <w:tab w:val="left" w:pos="360" w:leader="none"/>
      </w:tabs>
      <w:ind w:hanging="284" w:start="568" w:end="0"/>
    </w:pPr>
    <w:rPr/>
  </w:style>
  <w:style w:type="paragraph" w:styleId="AANumbering">
    <w:name w:val="AA Numbering"/>
    <w:basedOn w:val="Normal"/>
    <w:qFormat/>
    <w:pPr>
      <w:numPr>
        <w:ilvl w:val="0"/>
        <w:numId w:val="13"/>
      </w:numPr>
      <w:tabs>
        <w:tab w:val="clear" w:pos="720"/>
        <w:tab w:val="left" w:pos="1134" w:leader="none"/>
      </w:tabs>
      <w:spacing w:lineRule="atLeast" w:line="280"/>
      <w:ind w:hanging="0" w:start="0" w:end="0"/>
    </w:pPr>
    <w:rPr>
      <w:rFonts w:ascii="Times New Roman" w:hAnsi="Times New Roman" w:cs="Times New Roman"/>
    </w:rPr>
  </w:style>
  <w:style w:type="paragraph" w:styleId="EnvelopeReturn">
    <w:name w:val="envelope return"/>
    <w:basedOn w:val="Normal"/>
    <w:pPr>
      <w:tabs>
        <w:tab w:val="clear" w:pos="720"/>
        <w:tab w:val="left" w:pos="1134" w:leader="none"/>
      </w:tabs>
      <w:spacing w:lineRule="atLeast" w:line="280"/>
    </w:pPr>
    <w:rPr>
      <w:rFonts w:ascii="Arial" w:hAnsi="Arial" w:cs="Arial"/>
      <w:sz w:val="20"/>
    </w:rPr>
  </w:style>
  <w:style w:type="paragraph" w:styleId="BodyText2">
    <w:name w:val="Body Text 2"/>
    <w:basedOn w:val="Normal"/>
    <w:qFormat/>
    <w:pPr/>
    <w:rPr>
      <w:sz w:val="20"/>
    </w:rPr>
  </w:style>
  <w:style w:type="paragraph" w:styleId="BodyTextIndent">
    <w:name w:val="Body Text Indent"/>
    <w:basedOn w:val="Normal"/>
    <w:pPr/>
    <w:rPr>
      <w:sz w:val="20"/>
      <w:lang w:eastAsia="en-US"/>
    </w:rPr>
  </w:style>
  <w:style w:type="paragraph" w:styleId="BodyTextIndent2">
    <w:name w:val="Body Text Indent 2"/>
    <w:basedOn w:val="Normal"/>
    <w:qFormat/>
    <w:pPr>
      <w:tabs>
        <w:tab w:val="clear" w:pos="720"/>
        <w:tab w:val="left" w:pos="72" w:leader="none"/>
        <w:tab w:val="left" w:pos="144" w:leader="none"/>
      </w:tabs>
      <w:ind w:hanging="21" w:start="3" w:end="0"/>
    </w:pPr>
    <w:rPr>
      <w:sz w:val="18"/>
      <w:lang w:eastAsia="en-US"/>
    </w:rPr>
  </w:style>
  <w:style w:type="paragraph" w:styleId="AIOCSUBJECTFROM">
    <w:name w:val="AIOC SUBJECT/FROM"/>
    <w:basedOn w:val="Normal"/>
    <w:qFormat/>
    <w:pPr>
      <w:tabs>
        <w:tab w:val="clear" w:pos="720"/>
        <w:tab w:val="left" w:pos="1134" w:leader="none"/>
      </w:tabs>
      <w:spacing w:lineRule="atLeast" w:line="280"/>
      <w:ind w:hanging="1440" w:start="1440" w:end="0"/>
    </w:pPr>
    <w:rPr>
      <w:rFonts w:ascii="Times New Roman" w:hAnsi="Times New Roman" w:cs="Times New Roman"/>
      <w:lang w:val="en-GB" w:eastAsia="en-US"/>
    </w:rPr>
  </w:style>
  <w:style w:type="paragraph" w:styleId="BlockText">
    <w:name w:val="Block Text"/>
    <w:basedOn w:val="Normal"/>
    <w:qFormat/>
    <w:pPr>
      <w:ind w:hanging="0" w:start="360" w:end="72"/>
    </w:pPr>
    <w:rPr>
      <w:sz w:val="20"/>
    </w:rPr>
  </w:style>
  <w:style w:type="paragraph" w:styleId="BodyText3">
    <w:name w:val="Body Text 3"/>
    <w:basedOn w:val="Normal"/>
    <w:qFormat/>
    <w:pPr/>
    <w:rPr>
      <w:color w:val="000000"/>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2000-08-28T12:48:00Z</dcterms:created>
  <dc:creator>donnelcc</dc:creator>
  <dc:description/>
  <dc:language>en-CA</dc:language>
  <cp:lastModifiedBy>Arthur Andersen</cp:lastModifiedBy>
  <cp:lastPrinted>2000-08-18T09:07:00Z</cp:lastPrinted>
  <dcterms:modified xsi:type="dcterms:W3CDTF">2000-08-28T12:48:00Z</dcterms:modified>
  <cp:revision>2</cp:revision>
  <dc:subject/>
  <dc:title>Project Name</dc:title>
</cp:coreProperties>
</file>