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Times New Roman"/>
        </w:rPr>
      </w:pPr>
      <w:r>
        <w:rPr>
          <w:rFonts w:cs="Times New Roman"/>
        </w:rPr>
      </w:r>
    </w:p>
    <w:p>
      <w:pPr>
        <w:pStyle w:val="Normal"/>
        <w:jc w:val="center"/>
        <w:rPr>
          <w:rFonts w:cs="Times New Roman"/>
        </w:rPr>
      </w:pPr>
      <w:r>
        <w:rPr>
          <w:rFonts w:cs="Times New Roman"/>
        </w:rPr>
        <w:t>GREENFIELD SHIPPING COMPANY LIMITED</w:t>
      </w:r>
    </w:p>
    <w:p>
      <w:pPr>
        <w:pStyle w:val="Normal"/>
        <w:jc w:val="center"/>
        <w:rPr>
          <w:rFonts w:cs="Times New Roman"/>
        </w:rPr>
      </w:pPr>
      <w:r>
        <w:rPr>
          <w:rFonts w:cs="Times New Roman"/>
        </w:rPr>
        <w:t>LOAN NOTE 2002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tbl>
      <w:tblPr>
        <w:tblW w:w="8093" w:type="dxa"/>
        <w:jc w:val="start"/>
        <w:tblInd w:w="0" w:type="dxa"/>
        <w:tblLayout w:type="fixed"/>
        <w:tblCellMar>
          <w:top w:w="0" w:type="dxa"/>
          <w:start w:w="108" w:type="dxa"/>
          <w:bottom w:w="0" w:type="dxa"/>
          <w:end w:w="108" w:type="dxa"/>
        </w:tblCellMar>
      </w:tblPr>
      <w:tblGrid>
        <w:gridCol w:w="2425"/>
        <w:gridCol w:w="5668"/>
      </w:tblGrid>
      <w:tr>
        <w:trPr/>
        <w:tc>
          <w:tcPr>
            <w:tcW w:w="242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Issue Date</w:t>
            </w:r>
          </w:p>
        </w:tc>
        <w:tc>
          <w:tcPr>
            <w:tcW w:w="566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October 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Principal Amount</w:t>
            </w:r>
          </w:p>
        </w:tc>
        <w:tc>
          <w:tcPr>
            <w:tcW w:w="566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US$___________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Final Repayment Date</w:t>
            </w:r>
          </w:p>
        </w:tc>
        <w:tc>
          <w:tcPr>
            <w:tcW w:w="566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April 30, 2002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Interest Rate</w:t>
            </w:r>
          </w:p>
        </w:tc>
        <w:tc>
          <w:tcPr>
            <w:tcW w:w="5668"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t>the rate of five percent (5%) per annum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cs="Times New Roman"/>
        </w:rPr>
      </w:pPr>
      <w:r>
        <w:rPr>
          <w:rFonts w:cs="Times New Roman"/>
        </w:rPr>
      </w:r>
    </w:p>
    <w:p>
      <w:pPr>
        <w:pStyle w:val="VEAlignedText"/>
        <w:rPr/>
      </w:pPr>
      <w:r>
        <w:rPr>
          <w:rFonts w:cs="Times New Roman"/>
        </w:rPr>
        <w:t>FOR VALUE RECEIVED, the undersigned, GREENFIELD SHIPPING COMPANY LIMITED, of Valetta, Malta (the "</w:t>
      </w:r>
      <w:r>
        <w:rPr>
          <w:rFonts w:cs="Times New Roman"/>
          <w:i/>
          <w:iCs/>
        </w:rPr>
        <w:t>Company</w:t>
      </w:r>
      <w:r>
        <w:rPr>
          <w:rFonts w:cs="Times New Roman"/>
        </w:rPr>
        <w:t>") hereby unconditionally promises to pay to the order of ENRON CAPITAL &amp; TRADE RESOURCES INTERNATIONAL CORP and its assignees and successors in title ("</w:t>
      </w:r>
      <w:r>
        <w:rPr>
          <w:rFonts w:cs="Times New Roman"/>
          <w:i/>
          <w:iCs/>
        </w:rPr>
        <w:t>Holder</w:t>
      </w:r>
      <w:r>
        <w:rPr>
          <w:rFonts w:cs="Times New Roman"/>
        </w:rPr>
        <w:t>") the Principal Amount.  The Company further agrees to pay interest on the outstanding portion of Principal Amount from time to time outstanding as provided in subsection 2.1 hereof.</w:t>
      </w:r>
    </w:p>
    <w:p>
      <w:pPr>
        <w:pStyle w:val="section1"/>
        <w:numPr>
          <w:ilvl w:val="0"/>
          <w:numId w:val="1"/>
        </w:numPr>
        <w:ind w:hanging="0" w:start="0"/>
        <w:rPr/>
      </w:pPr>
      <w:r>
        <w:rPr/>
        <w:t>DEFINED TERMS.</w:t>
      </w:r>
    </w:p>
    <w:p>
      <w:pPr>
        <w:pStyle w:val="VEAlignedText"/>
        <w:rPr>
          <w:rFonts w:cs="Times New Roman"/>
        </w:rPr>
      </w:pPr>
      <w:r>
        <w:rPr>
          <w:rFonts w:cs="Times New Roman"/>
        </w:rPr>
        <w:t xml:space="preserve">As referred to in this Note, all terms defined in this Note shall have the meanings ascribed thereto and the following terms shall have the meanings specified with respect thereto: </w:t>
      </w:r>
    </w:p>
    <w:p>
      <w:pPr>
        <w:pStyle w:val="VEAlignedText"/>
        <w:rPr>
          <w:rFonts w:cs="Times New Roman"/>
        </w:rPr>
      </w:pPr>
      <w:r>
        <w:rPr>
          <w:rFonts w:cs="Times New Roman"/>
        </w:rPr>
        <w:t>“</w:t>
      </w:r>
      <w:r>
        <w:rPr>
          <w:rFonts w:cs="Times New Roman"/>
        </w:rPr>
        <w:t>Additional Margin” shall mean interest calculated on the outstanding balance of the Principal Amount at the rate of one per cent (1%) per annum computed on the basis of a 360</w:t>
        <w:noBreakHyphen/>
        <w:t>day year for the actual days elapsed</w:t>
      </w:r>
    </w:p>
    <w:p>
      <w:pPr>
        <w:pStyle w:val="VEAlignedText"/>
        <w:rPr/>
      </w:pPr>
      <w:r>
        <w:rPr>
          <w:rFonts w:cs="Times New Roman"/>
        </w:rPr>
        <w:t>“</w:t>
      </w:r>
      <w:r>
        <w:rPr>
          <w:rFonts w:cs="Times New Roman"/>
          <w:i/>
          <w:iCs/>
        </w:rPr>
        <w:t>Affiliate</w:t>
      </w:r>
      <w:r>
        <w:rPr>
          <w:rFonts w:cs="Times New Roman"/>
        </w:rPr>
        <w:t>” shall mean</w:t>
      </w:r>
      <w:r>
        <w:rPr>
          <w:rFonts w:cs="Times New Roman"/>
          <w:lang w:eastAsia="en-GB"/>
        </w:rPr>
        <w:t>, with respect to any corporate body, any other corporate body that (a) owns or controls the first corporate body, (b) is owned or controlled by the first corporate body, or (c) is under common ownership or control with the first corporate body, where “own” means ownership of fifty percent (50%) or more of the equity interests or rights to distributions on account of equity of the corporate body; and “control” means the power to direct the management or policies of the corporate body, whether through the ownership of voting securities, by contract, or otherwise.</w:t>
      </w:r>
    </w:p>
    <w:p>
      <w:pPr>
        <w:pStyle w:val="VEAlignedText"/>
        <w:rPr/>
      </w:pPr>
      <w:r>
        <w:rPr>
          <w:rFonts w:cs="Times New Roman"/>
        </w:rPr>
        <w:t>"</w:t>
      </w:r>
      <w:r>
        <w:rPr>
          <w:rFonts w:cs="Times New Roman"/>
          <w:i/>
          <w:iCs/>
        </w:rPr>
        <w:t>Amortization Schedule</w:t>
      </w:r>
      <w:r>
        <w:rPr>
          <w:rFonts w:cs="Times New Roman"/>
        </w:rPr>
        <w:t>" shall mean the schedule to this Note as from time to time amended or replaced by agreement between the Company and the Holder.</w:t>
      </w:r>
    </w:p>
    <w:p>
      <w:pPr>
        <w:pStyle w:val="VEAlignedText"/>
        <w:rPr/>
      </w:pPr>
      <w:r>
        <w:rPr>
          <w:rFonts w:cs="Times New Roman"/>
        </w:rPr>
        <w:t>"</w:t>
      </w:r>
      <w:r>
        <w:rPr>
          <w:rFonts w:cs="Times New Roman"/>
          <w:i/>
          <w:iCs/>
        </w:rPr>
        <w:t>Business Day</w:t>
      </w:r>
      <w:r>
        <w:rPr>
          <w:rFonts w:cs="Times New Roman"/>
        </w:rPr>
        <w:t xml:space="preserve">" shall mean a day (a) other than a Saturday, Sunday or other day on which commercial banks in London, England and Tokyo, Japan are open for business and (b) on which banks are open for dealings in Dollar deposits in the London Interbank Eurocurrency Market. </w:t>
      </w:r>
    </w:p>
    <w:p>
      <w:pPr>
        <w:pStyle w:val="VEAlignedText"/>
        <w:rPr/>
      </w:pPr>
      <w:r>
        <w:rPr>
          <w:rFonts w:cs="Times New Roman"/>
        </w:rPr>
        <w:t>"</w:t>
      </w:r>
      <w:r>
        <w:rPr>
          <w:rFonts w:cs="Times New Roman"/>
          <w:i/>
          <w:iCs/>
        </w:rPr>
        <w:t>Dollars</w:t>
      </w:r>
      <w:r>
        <w:rPr>
          <w:rFonts w:cs="Times New Roman"/>
        </w:rPr>
        <w:t>" and "</w:t>
      </w:r>
      <w:r>
        <w:rPr>
          <w:rFonts w:cs="Times New Roman"/>
          <w:i/>
          <w:iCs/>
        </w:rPr>
        <w:t>$</w:t>
      </w:r>
      <w:r>
        <w:rPr>
          <w:rFonts w:cs="Times New Roman"/>
        </w:rPr>
        <w:t xml:space="preserve">" shall mean lawful money of the United States of America. </w:t>
      </w:r>
    </w:p>
    <w:p>
      <w:pPr>
        <w:pStyle w:val="VEAlignedText"/>
        <w:rPr/>
      </w:pPr>
      <w:r>
        <w:rPr>
          <w:rFonts w:cs="Times New Roman"/>
        </w:rPr>
        <w:t>"</w:t>
      </w:r>
      <w:r>
        <w:rPr>
          <w:rFonts w:cs="Times New Roman"/>
          <w:i/>
          <w:iCs/>
        </w:rPr>
        <w:t>Interest</w:t>
      </w:r>
      <w:r>
        <w:rPr>
          <w:rFonts w:cs="Times New Roman"/>
        </w:rPr>
        <w:t>" shall mean interest calculated on the outstanding balance of the Principal Amount at the Interest Rate computed on the basis of a 360</w:t>
        <w:noBreakHyphen/>
        <w:t>day year for the actual days elapsed, together with the Additional Margin (if any).</w:t>
      </w:r>
    </w:p>
    <w:p>
      <w:pPr>
        <w:pStyle w:val="VEAlignedText"/>
        <w:rPr/>
      </w:pPr>
      <w:r>
        <w:rPr>
          <w:rFonts w:cs="Times New Roman"/>
        </w:rPr>
        <w:t>"</w:t>
      </w:r>
      <w:r>
        <w:rPr>
          <w:rFonts w:cs="Times New Roman"/>
          <w:i/>
          <w:iCs/>
        </w:rPr>
        <w:t>Payment Date</w:t>
      </w:r>
      <w:r>
        <w:rPr>
          <w:rFonts w:cs="Times New Roman"/>
        </w:rPr>
        <w:t xml:space="preserve">" shall mean each of the dates set out in column (1) of the Amortization Schedule. </w:t>
      </w:r>
    </w:p>
    <w:p>
      <w:pPr>
        <w:pStyle w:val="VEAlignedText"/>
        <w:rPr/>
      </w:pPr>
      <w:r>
        <w:rPr>
          <w:rFonts w:cs="Times New Roman"/>
        </w:rPr>
        <w:t>"</w:t>
      </w:r>
      <w:r>
        <w:rPr>
          <w:rFonts w:cs="Times New Roman"/>
          <w:i/>
          <w:iCs/>
        </w:rPr>
        <w:t>Payment Instalment</w:t>
      </w:r>
      <w:r>
        <w:rPr>
          <w:rFonts w:cs="Times New Roman"/>
        </w:rPr>
        <w:t>" shall mean each of the amounts set out in column (4) of the Amortization Schedule.</w:t>
      </w:r>
    </w:p>
    <w:p>
      <w:pPr>
        <w:pStyle w:val="section1"/>
        <w:keepNext w:val="false"/>
        <w:keepLines w:val="false"/>
        <w:numPr>
          <w:ilvl w:val="0"/>
          <w:numId w:val="1"/>
        </w:numPr>
        <w:ind w:hanging="0" w:start="0"/>
        <w:rPr/>
      </w:pPr>
      <w:r>
        <w:rPr/>
        <w:t>INTEREST AND PAYMENT.</w:t>
      </w:r>
    </w:p>
    <w:p>
      <w:pPr>
        <w:pStyle w:val="section2"/>
        <w:numPr>
          <w:ilvl w:val="1"/>
          <w:numId w:val="1"/>
        </w:numPr>
        <w:ind w:hanging="741" w:start="741" w:end="0"/>
        <w:rPr/>
      </w:pPr>
      <w:r>
        <w:rPr>
          <w:i/>
          <w:iCs/>
        </w:rPr>
        <w:t>Payment Installments</w:t>
      </w:r>
      <w:r>
        <w:rPr/>
        <w:t>.  The Company hereby promises to repay the Principal Amount and Interest thereon by paying to the Holder</w:t>
      </w:r>
    </w:p>
    <w:p>
      <w:pPr>
        <w:pStyle w:val="section2"/>
        <w:numPr>
          <w:ilvl w:val="0"/>
          <w:numId w:val="0"/>
        </w:numPr>
        <w:tabs>
          <w:tab w:val="clear" w:pos="720"/>
          <w:tab w:val="left" w:pos="142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84" w:start="1425" w:end="0"/>
        <w:rPr/>
      </w:pPr>
      <w:r>
        <w:rPr/>
        <w:t>(a)</w:t>
        <w:tab/>
        <w:t>three equal Payment Installments of combined principal and Interest with each Payment Installment falling due on the applicable Payment Date in accordance with the Amortization Schedule (the total amount of each Payment Installment, and the components thereof attributable to principal and Interest, having in each case being determined on the notional basis that the Principal Amount is to be repaid over a notional amortization period of 24 months by 24 equal installments of combined principal and Interest commencing on the first Payment Date and continuing thereafter on the last Business Day of each succeeding month until and including December 31, 2003); and</w:t>
      </w:r>
    </w:p>
    <w:p>
      <w:pPr>
        <w:pStyle w:val="section2"/>
        <w:numPr>
          <w:ilvl w:val="0"/>
          <w:numId w:val="0"/>
        </w:numPr>
        <w:tabs>
          <w:tab w:val="clear" w:pos="720"/>
          <w:tab w:val="left" w:pos="142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84" w:start="1425" w:end="0"/>
        <w:rPr/>
      </w:pPr>
      <w:r>
        <w:rPr/>
        <w:t>(b)</w:t>
        <w:tab/>
        <w:t>a payment on the Final Repayment Date of the outstanding balance of the Principal Amount together with Interest accrued thereon from the last of the Payment Dates until and including the Final Repayment Date.</w:t>
      </w:r>
    </w:p>
    <w:p>
      <w:pPr>
        <w:pStyle w:val="section2"/>
        <w:numPr>
          <w:ilvl w:val="1"/>
          <w:numId w:val="1"/>
        </w:numPr>
        <w:tabs>
          <w:tab w:val="clear" w:pos="720"/>
          <w:tab w:val="left" w:pos="741" w:leader="none"/>
          <w:tab w:val="left" w:pos="1425" w:leader="none"/>
          <w:tab w:val="left" w:pos="216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Additional Margin</w:t>
      </w:r>
      <w:r>
        <w:rPr/>
        <w:t xml:space="preserve">.  In the event that </w:t>
      </w:r>
      <w:r>
        <w:rPr>
          <w:rStyle w:val="VEBold"/>
          <w:b w:val="false"/>
          <w:bCs/>
          <w:color w:val="000000"/>
        </w:rPr>
        <w:t>Standard &amp; Poors Ratings Services (a division of The McGraw-Hill Companies, Inc.) ceases to offer a</w:t>
      </w:r>
      <w:r>
        <w:rPr/>
        <w:t xml:space="preserve"> long term credit rating of </w:t>
      </w:r>
      <w:r>
        <w:rPr>
          <w:rStyle w:val="VEBold"/>
          <w:b w:val="false"/>
          <w:bCs/>
          <w:color w:val="000000"/>
        </w:rPr>
        <w:t>Mitsui O.S.K. Lines, Ltd. (the “</w:t>
      </w:r>
      <w:r>
        <w:rPr>
          <w:rStyle w:val="VEBold"/>
          <w:b w:val="false"/>
          <w:bCs/>
          <w:i/>
          <w:iCs/>
          <w:color w:val="000000"/>
        </w:rPr>
        <w:t>Guarantor</w:t>
      </w:r>
      <w:r>
        <w:rPr>
          <w:rStyle w:val="VEBold"/>
          <w:b w:val="false"/>
          <w:bCs/>
          <w:color w:val="000000"/>
        </w:rPr>
        <w:t xml:space="preserve">”) of at least “BB“, </w:t>
      </w:r>
      <w:r>
        <w:rPr/>
        <w:t xml:space="preserve">the Company shall pay the Additional Margin in arrears on the each Payment Date (or the date on which a mandatory prepayment becomes due pursuant to subsection 2.4 if earlier) which shall accrue as Interest pursuant to subsection 2.1; and the Holder shall prepare and forward to the Company a new Amortization Schedule incorporating the Company’s payment obligations in respect of the Additional Margin which shall take effect as the Amortization Schedule applicable to this Note in the absence of manifest error (and the previously applicable Amortization Schedule shall be null and void). </w:t>
      </w:r>
    </w:p>
    <w:p>
      <w:pPr>
        <w:pStyle w:val="section2"/>
        <w:numPr>
          <w:ilvl w:val="1"/>
          <w:numId w:val="1"/>
        </w:numPr>
        <w:tabs>
          <w:tab w:val="clear" w:pos="720"/>
          <w:tab w:val="left" w:pos="74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Optional Prepayments</w:t>
      </w:r>
      <w:r>
        <w:rPr/>
        <w:t xml:space="preserve">.  The Company will have the option to prepay the outstanding Principal Amount at any time in whole or in part, subject to agreeing in advance with the Holder a revised Amortization Schedule which shall, upon such prepayment, take effect as the Amortization Schedule applicable to this Note, and the previously applicable Amortization Schedule shall be null and void..  Any accrued and unpaid Interest (and Additional Margin, if any) on the outstanding Principal Amount prepaid pursuant to this subsection 2.3 shall be paid at the time of such prepayment. </w:t>
      </w:r>
    </w:p>
    <w:p>
      <w:pPr>
        <w:pStyle w:val="section2"/>
        <w:numPr>
          <w:ilvl w:val="1"/>
          <w:numId w:val="1"/>
        </w:numPr>
        <w:tabs>
          <w:tab w:val="clear" w:pos="720"/>
          <w:tab w:val="left" w:pos="74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Mandatory Prepayment</w:t>
      </w:r>
      <w:r>
        <w:rPr/>
        <w:t>.  The Company shall prepay the outstanding Principal Amount in full forthwith upon in full together with all Interest and Additional Margin (if any) accrued thereon to the date of payment pursuant to subsections 2.1 and 2.2 above upon the earlier of:</w:t>
      </w:r>
    </w:p>
    <w:p>
      <w:pPr>
        <w:pStyle w:val="section2"/>
        <w:numPr>
          <w:ilvl w:val="0"/>
          <w:numId w:val="0"/>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84" w:start="1425" w:end="0"/>
        <w:rPr/>
      </w:pPr>
      <w:r>
        <w:rPr/>
        <w:t>(a)</w:t>
        <w:tab/>
        <w:t>discharge of all, or substantially all, of its indebtedness under a Loan Agreement (the “</w:t>
      </w:r>
      <w:r>
        <w:rPr>
          <w:i/>
          <w:iCs/>
        </w:rPr>
        <w:t>Loan Agreement</w:t>
      </w:r>
      <w:r>
        <w:rPr/>
        <w:t xml:space="preserve">”) dated February 12, 1999 and made between </w:t>
      </w:r>
      <w:r>
        <w:rPr>
          <w:i/>
          <w:iCs/>
        </w:rPr>
        <w:t>inter alios</w:t>
      </w:r>
      <w:r>
        <w:rPr/>
        <w:t xml:space="preserve"> the Company and Australia and New Zealand Banking Group Limited or any agreement to restructure all, or substantially all, of such indebtedness;</w:t>
      </w:r>
    </w:p>
    <w:p>
      <w:pPr>
        <w:pStyle w:val="section2"/>
        <w:numPr>
          <w:ilvl w:val="0"/>
          <w:numId w:val="0"/>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84" w:start="1425" w:end="0"/>
        <w:rPr/>
      </w:pPr>
      <w:r>
        <w:rPr/>
        <w:t>(b)</w:t>
        <w:tab/>
        <w:t>acceleration of the Company’s obligation to repay all or a substantial part of the loans outstanding under the Loan Agreement; or</w:t>
      </w:r>
    </w:p>
    <w:p>
      <w:pPr>
        <w:pStyle w:val="section2"/>
        <w:numPr>
          <w:ilvl w:val="0"/>
          <w:numId w:val="0"/>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84" w:start="1425" w:end="0"/>
        <w:rPr>
          <w:b/>
          <w:bCs/>
        </w:rPr>
      </w:pPr>
      <w:r>
        <w:rPr/>
        <w:t>(c)</w:t>
        <w:tab/>
        <w:t xml:space="preserve">the Holder giving notice that </w:t>
      </w:r>
      <w:r>
        <w:rPr>
          <w:rStyle w:val="VEBold"/>
          <w:b w:val="false"/>
          <w:bCs/>
          <w:color w:val="000000"/>
        </w:rPr>
        <w:t>the Guarantor is breach of any of its obligations under the Deed of Guarantee dated on or about the date hereof entered into by it in favor of the Holder.</w:t>
      </w:r>
    </w:p>
    <w:p>
      <w:pPr>
        <w:pStyle w:val="section2"/>
        <w:numPr>
          <w:ilvl w:val="0"/>
          <w:numId w:val="0"/>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741" w:end="0"/>
        <w:rPr/>
      </w:pPr>
      <w:r>
        <w:rPr/>
        <w:t xml:space="preserve">Any accrued and unpaid interest on the outstanding Principal Amount prepaid pursuant to this subsection 2.4 shall be paid at the time of such prepayment. </w:t>
      </w:r>
    </w:p>
    <w:p>
      <w:pPr>
        <w:pStyle w:val="section2"/>
        <w:numPr>
          <w:ilvl w:val="1"/>
          <w:numId w:val="1"/>
        </w:numPr>
        <w:tabs>
          <w:tab w:val="clear" w:pos="720"/>
          <w:tab w:val="left" w:pos="74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Taxes</w:t>
      </w:r>
      <w:r>
        <w:rPr/>
        <w:t xml:space="preserve">.  All payments made by the Company under this Note shall be made free and clear of, and without deduction or withholding for or on account of any present or future income, stamp or other taxes, levies, imposts, duties, charges, fees, deductions, or withholdings, now or hereafter levied, collected, withheld or assessed by a governmental authority; provided that the Company shall not be liable under this subsection 2.5 in any circumstances for any net income taxes imposed on the Holder as a result of a present or former connection between such Holder and the jurisdiction of the governmental authority imposing such tax. </w:t>
      </w:r>
    </w:p>
    <w:p>
      <w:pPr>
        <w:pStyle w:val="section2"/>
        <w:numPr>
          <w:ilvl w:val="1"/>
          <w:numId w:val="1"/>
        </w:numPr>
        <w:tabs>
          <w:tab w:val="clear" w:pos="720"/>
          <w:tab w:val="left" w:pos="74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Payments</w:t>
      </w:r>
      <w:r>
        <w:rPr/>
        <w:t>.  All payments to be made by the Company hereunder, whether for principal, interest or otherwise, shall be made in Dollars and in immediately available funds to the Holder by wire transfer to such bank account as the Holder may specify in a written notice to the Company from time to time.  All such payments shall be free and clear of any lien, encumbrance, set-off or counterclaim whatsoever.</w:t>
      </w:r>
    </w:p>
    <w:p>
      <w:pPr>
        <w:pStyle w:val="section2"/>
        <w:numPr>
          <w:ilvl w:val="1"/>
          <w:numId w:val="1"/>
        </w:numPr>
        <w:tabs>
          <w:tab w:val="clear" w:pos="720"/>
          <w:tab w:val="left" w:pos="741" w:leader="none"/>
          <w:tab w:val="left" w:pos="142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Default Interest</w:t>
      </w:r>
      <w:r>
        <w:rPr/>
        <w:t>.  If all or a portion of (i) any Payment Instalment or (ii) any other amount payable hereunder shall not be paid when due (whether at the stated maturity, by acceleration or otherwise), the outstanding amount shall bear interest at the Interest Rate computed on the basis of a 360</w:t>
        <w:noBreakHyphen/>
        <w:t>day year for the actual days elapsed plus three percent (3%) per annum.</w:t>
      </w:r>
    </w:p>
    <w:p>
      <w:pPr>
        <w:pStyle w:val="section2"/>
        <w:numPr>
          <w:ilvl w:val="0"/>
          <w:numId w:val="0"/>
        </w:numPr>
        <w:ind w:hanging="0" w:start="0"/>
        <w:rPr/>
      </w:pPr>
      <w:r>
        <w:rPr/>
      </w:r>
    </w:p>
    <w:p>
      <w:pPr>
        <w:pStyle w:val="section1"/>
        <w:keepNext w:val="false"/>
        <w:keepLines w:val="false"/>
        <w:numPr>
          <w:ilvl w:val="0"/>
          <w:numId w:val="1"/>
        </w:numPr>
        <w:ind w:hanging="0" w:start="0"/>
        <w:rPr/>
      </w:pPr>
      <w:r>
        <w:rPr/>
        <w:t xml:space="preserve">MISCELLANEOUS. </w:t>
      </w:r>
    </w:p>
    <w:p>
      <w:pPr>
        <w:pStyle w:val="section2"/>
        <w:numPr>
          <w:ilvl w:val="1"/>
          <w:numId w:val="1"/>
        </w:numPr>
        <w:tabs>
          <w:tab w:val="clear" w:pos="720"/>
          <w:tab w:val="left" w:pos="74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Assignment</w:t>
      </w:r>
      <w:r>
        <w:rPr/>
        <w:t xml:space="preserve">.  This Note may be transferred or assigned in whole, but not part only, to any Affiliate of the Holder without the consent of the Company, provided that in no circumstances shall the Company’s liability hereunder be increased as a result of any such transfer or assignment. </w:t>
      </w:r>
    </w:p>
    <w:p>
      <w:pPr>
        <w:pStyle w:val="section2"/>
        <w:numPr>
          <w:ilvl w:val="1"/>
          <w:numId w:val="1"/>
        </w:numPr>
        <w:tabs>
          <w:tab w:val="clear" w:pos="720"/>
          <w:tab w:val="left" w:pos="74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41" w:start="741" w:end="0"/>
        <w:rPr/>
      </w:pPr>
      <w:r>
        <w:rPr>
          <w:i/>
          <w:iCs/>
        </w:rPr>
        <w:t>Submission to Jurisdiction; Waivers</w:t>
      </w:r>
      <w:r>
        <w:rPr/>
        <w:t xml:space="preserve">. </w:t>
      </w:r>
    </w:p>
    <w:p>
      <w:pPr>
        <w:pStyle w:val="VEBodyText1"/>
        <w:ind w:hanging="691" w:end="0"/>
        <w:rPr>
          <w:rFonts w:cs="Times New Roman"/>
        </w:rPr>
      </w:pPr>
      <w:r>
        <w:rPr>
          <w:rFonts w:cs="Times New Roman"/>
        </w:rPr>
        <w:t>(a)</w:t>
        <w:tab/>
        <w:t xml:space="preserve">The Company hereby irrevocably and unconditionally: </w:t>
      </w:r>
    </w:p>
    <w:p>
      <w:pPr>
        <w:pStyle w:val="VEBodyText2"/>
        <w:rPr/>
      </w:pPr>
      <w:r>
        <w:rPr>
          <w:rFonts w:cs="Times New Roman"/>
        </w:rPr>
        <w:t>(i)</w:t>
        <w:tab/>
        <w:t>submits for itself and its property in any legal action or proceeding relating to this Note, or for recognition and enforcement of any judgment in respect hereof, to the non-exclusive general jurisdiction of the Courts of England and Wales (collectively, the "</w:t>
      </w:r>
      <w:r>
        <w:rPr>
          <w:rFonts w:cs="Times New Roman"/>
          <w:i/>
          <w:iCs/>
        </w:rPr>
        <w:t>Specified Courts</w:t>
      </w:r>
      <w:r>
        <w:rPr>
          <w:rFonts w:cs="Times New Roman"/>
        </w:rPr>
        <w:t>");</w:t>
      </w:r>
    </w:p>
    <w:p>
      <w:pPr>
        <w:pStyle w:val="VEBodyText2"/>
        <w:rPr>
          <w:rFonts w:cs="Times New Roman"/>
        </w:rPr>
      </w:pPr>
      <w:r>
        <w:rPr>
          <w:rFonts w:cs="Times New Roman"/>
        </w:rPr>
        <w:t>(ii)</w:t>
        <w:tab/>
        <w:t>consents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 and</w:t>
      </w:r>
    </w:p>
    <w:p>
      <w:pPr>
        <w:pStyle w:val="VEBodyText1"/>
        <w:ind w:hanging="691" w:end="0"/>
        <w:rPr/>
      </w:pPr>
      <w:r>
        <w:rPr>
          <w:rFonts w:cs="Times New Roman"/>
        </w:rPr>
        <w:t>(b)</w:t>
        <w:tab/>
        <w:t xml:space="preserve">The Company hereby irrevocably and unconditionally appoints </w:t>
      </w:r>
      <w:r>
        <w:rPr/>
        <w:t>Mitsui Bulk Shipping (Europe) Ltd. (the "</w:t>
      </w:r>
      <w:r>
        <w:rPr>
          <w:i/>
          <w:iCs/>
        </w:rPr>
        <w:t>Process Agent</w:t>
      </w:r>
      <w:r>
        <w:rPr/>
        <w:t>"), with an office on the date hereof at 6th Floor, Dexter House, Royal Mint Court, London EC3N 4JR, England as its agent</w:t>
      </w:r>
      <w:r>
        <w:rPr>
          <w:rFonts w:cs="Times New Roman"/>
        </w:rPr>
        <w:t xml:space="preserve"> to receive on behalf of the Company and its property service of copies of the summons and complaint and any other process which may be served in any such suit, action or proceeding brought in any Specified Court.  Such Service may be made by mailing or delivering a copy of such process to the Company in care of the Process Agent at the address specified above for the Process Agent, and the Company hereby irrevocably authorizes and directs the Process Agent to accept such service on its behalf.  Failure of the Process Agent to give notice to the Company or failure of the Company to receive notice of such service of process shall not affect in any way the validity of such service on the Process Agent or the Company.  The Company covenants and agrees that it shall take any and all reasonable action, including the execution and filing of any and all documents, that may be necessary to continue the designation of the Process Agent above in full force and effect, and to cause the Process Agent to act as such.  In the event that at any time such Process Agent shall for any reason cease to maintain an office in England, or cease to act as Process Agent, then, as an alternate method of service, the Company irrevocably consents to the service of any and all process in any such suit, action or proceeding in any Specified Court by mailing of copies of such process to the Company at its address specified in subsection 3.4 hereof.  The Company acknowledges and agrees that nothing herein shall affect the right to effect service of process in any other manner permitted by law or shall limit the right to sue in any other jurisdiction. </w:t>
      </w:r>
    </w:p>
    <w:p>
      <w:pPr>
        <w:pStyle w:val="section2"/>
        <w:numPr>
          <w:ilvl w:val="1"/>
          <w:numId w:val="1"/>
        </w:numPr>
        <w:ind w:hanging="741" w:start="741" w:end="0"/>
        <w:rPr/>
      </w:pPr>
      <w:r>
        <w:rPr>
          <w:i/>
          <w:iCs/>
        </w:rPr>
        <w:t>Judgment</w:t>
      </w:r>
      <w:r>
        <w:rPr/>
        <w:t xml:space="preserve">. </w:t>
      </w:r>
    </w:p>
    <w:p>
      <w:pPr>
        <w:pStyle w:val="VEBodyText1"/>
        <w:ind w:hanging="691" w:end="0"/>
        <w:rPr>
          <w:rFonts w:cs="Times New Roman"/>
        </w:rPr>
      </w:pPr>
      <w:r>
        <w:rPr>
          <w:rFonts w:cs="Times New Roman"/>
        </w:rPr>
        <w:t>(a)</w:t>
        <w:tab/>
        <w:t xml:space="preserve">If for the purpose of obtaining judgment in any court it is necessary to convert a sum due hereunder in one currency into another currency, the Company agrees to the fullest extent permitted by law, that the rate of exchange used shall be that at which in accordance with normal banking procedures the Company could purchase the first currency with such other currency in London on the day which is two Business Days prior to the day on which final judgment is rendered. </w:t>
      </w:r>
    </w:p>
    <w:p>
      <w:pPr>
        <w:pStyle w:val="VEBodyText1"/>
        <w:ind w:hanging="691" w:end="0"/>
        <w:rPr/>
      </w:pPr>
      <w:r>
        <w:rPr>
          <w:rFonts w:cs="Times New Roman"/>
        </w:rPr>
        <w:t>(b)</w:t>
        <w:tab/>
        <w:t>To the fullest extent permitted by law, the obligation of the Company in respect of any sum payable hereunder by it shall, notwithstanding any judgment in a currency (the "</w:t>
      </w:r>
      <w:r>
        <w:rPr>
          <w:rFonts w:cs="Times New Roman"/>
          <w:i/>
          <w:iCs/>
        </w:rPr>
        <w:t>Judgment Currency</w:t>
      </w:r>
      <w:r>
        <w:rPr>
          <w:rFonts w:cs="Times New Roman"/>
        </w:rPr>
        <w:t>") other than Dollars be discharged only to the extent that on the Business Day following receipt by the Holder of this Note of any sum adjudged to be so due in the Judgment Currency such Holder may in accordance with normal banking procedures purchase sufficient Dollars with the Judgment Currency to satisfy the judgment.  If the amount of Dollars which could have been so purchased is less than the sum originally due to such Holder in Dollars, the Company agrees, as a separate obligation and notwithstanding any such judg</w:t>
        <w:softHyphen/>
        <w:t xml:space="preserve">ment, to indemnify such Holder against such loss.  If the amount of Dollars which could have been so purchased exceeds the sum originally due to such Holder, by its acceptance hereof such Holder agrees to remit to the Company such excess; </w:t>
      </w:r>
      <w:r>
        <w:rPr>
          <w:rFonts w:cs="Times New Roman"/>
          <w:i/>
          <w:iCs/>
        </w:rPr>
        <w:t>provided</w:t>
      </w:r>
      <w:r>
        <w:rPr>
          <w:rFonts w:cs="Times New Roman"/>
        </w:rPr>
        <w:t xml:space="preserve"> that such Holder shall not have any obligation to remit any such excess as long as the Company shall have failed to pay it any obligations due and payable under this Note, in which case such excess may be applied to such obligations of the Company hereunder in accordance with the terms of this Note. </w:t>
      </w:r>
    </w:p>
    <w:p>
      <w:pPr>
        <w:pStyle w:val="Normal"/>
        <w:ind w:hanging="741" w:start="741" w:end="-2"/>
        <w:jc w:val="both"/>
        <w:rPr/>
      </w:pPr>
      <w:r>
        <w:rPr>
          <w:rFonts w:cs="Times New Roman"/>
        </w:rPr>
        <w:t>3.4</w:t>
        <w:tab/>
      </w:r>
      <w:r>
        <w:rPr>
          <w:rFonts w:cs="Times New Roman"/>
          <w:i/>
          <w:iCs/>
        </w:rPr>
        <w:t>Notices</w:t>
      </w:r>
      <w:r>
        <w:rPr>
          <w:rFonts w:cs="Times New Roman"/>
        </w:rPr>
        <w:t xml:space="preserve">.  </w:t>
      </w:r>
      <w:r>
        <w:rPr>
          <w:rFonts w:cs="Times New Roman"/>
          <w:color w:val="000000"/>
        </w:rPr>
        <w:t xml:space="preserve">All </w:t>
      </w:r>
      <w:r>
        <w:rPr>
          <w:rFonts w:cs="Times New Roman"/>
        </w:rPr>
        <w:t xml:space="preserve">notices, requests and demands to or upon the Company pursuant hereto to be effective </w:t>
      </w:r>
      <w:r>
        <w:rPr>
          <w:rFonts w:cs="Times New Roman"/>
          <w:color w:val="000000"/>
        </w:rPr>
        <w:t>shall be made in writing in English, but may be made by facsimile transmission or letter.  Any notice or demand to be made or delivered by the Holder pursuant to this Note shall (unless the Company has by 15 days' written notice to the Holder specified another address) be made or delivered at the following address:</w:t>
      </w:r>
    </w:p>
    <w:p>
      <w:pPr>
        <w:pStyle w:val="Normal"/>
        <w:ind w:start="741" w:end="-2"/>
        <w:jc w:val="both"/>
        <w:rPr>
          <w:rFonts w:cs="Times New Roman"/>
          <w:color w:val="000000"/>
        </w:rPr>
      </w:pPr>
      <w:r>
        <w:rPr>
          <w:rFonts w:cs="Times New Roman"/>
          <w:color w:val="000000"/>
        </w:rPr>
      </w:r>
    </w:p>
    <w:p>
      <w:pPr>
        <w:pStyle w:val="Normal"/>
        <w:ind w:start="741" w:end="-2"/>
        <w:jc w:val="both"/>
        <w:rPr/>
      </w:pPr>
      <w:r>
        <w:rPr>
          <w:rStyle w:val="VEBold"/>
          <w:b w:val="false"/>
          <w:bCs/>
          <w:color w:val="000000"/>
          <w:u w:val="single"/>
        </w:rPr>
        <w:t>The Company</w:t>
      </w:r>
      <w:r>
        <w:rPr>
          <w:color w:val="000000"/>
        </w:rPr>
        <w:t>:</w:t>
      </w:r>
    </w:p>
    <w:p>
      <w:pPr>
        <w:pStyle w:val="Normal"/>
        <w:ind w:start="741" w:end="-2"/>
        <w:jc w:val="both"/>
        <w:rPr>
          <w:color w:val="000000"/>
        </w:rPr>
      </w:pPr>
      <w:r>
        <w:rPr>
          <w:color w:val="000000"/>
        </w:rPr>
      </w:r>
    </w:p>
    <w:p>
      <w:pPr>
        <w:pStyle w:val="Normal"/>
        <w:ind w:start="741" w:end="0"/>
        <w:rPr/>
      </w:pPr>
      <w:r>
        <w:rPr/>
        <w:t>Mitsui O.S.K. Lines, Ltd.</w:t>
      </w:r>
    </w:p>
    <w:p>
      <w:pPr>
        <w:pStyle w:val="Normal"/>
        <w:ind w:start="741" w:end="0"/>
        <w:rPr/>
      </w:pPr>
      <w:r>
        <w:rPr/>
        <w:t>1-1, Toranomon 2-Chome</w:t>
      </w:r>
    </w:p>
    <w:p>
      <w:pPr>
        <w:pStyle w:val="Normal"/>
        <w:ind w:start="741" w:end="0"/>
        <w:rPr/>
      </w:pPr>
      <w:r>
        <w:rPr/>
        <w:t>Minato-ku, Tokyo</w:t>
      </w:r>
    </w:p>
    <w:p>
      <w:pPr>
        <w:pStyle w:val="Normal"/>
        <w:ind w:start="741" w:end="0"/>
        <w:rPr>
          <w:u w:val="single"/>
        </w:rPr>
      </w:pPr>
      <w:r>
        <w:rPr/>
        <w:t>105-8688 Japan</w:t>
      </w:r>
    </w:p>
    <w:p>
      <w:pPr>
        <w:pStyle w:val="Normal"/>
        <w:ind w:start="741" w:end="0"/>
        <w:rPr/>
      </w:pPr>
      <w:r>
        <w:rPr/>
        <w:t xml:space="preserve">Attention: </w:t>
        <w:tab/>
        <w:t>Executive Officer, Liquefied Gas Carrier Division</w:t>
      </w:r>
    </w:p>
    <w:p>
      <w:pPr>
        <w:pStyle w:val="Normal"/>
        <w:ind w:start="741" w:end="0"/>
        <w:rPr>
          <w:u w:val="single"/>
        </w:rPr>
      </w:pPr>
      <w:r>
        <w:rPr/>
        <w:t>Fax Number:</w:t>
        <w:tab/>
        <w:t>(81-3) 3587-7748</w:t>
      </w:r>
    </w:p>
    <w:p>
      <w:pPr>
        <w:pStyle w:val="Normal"/>
        <w:tabs>
          <w:tab w:val="clear" w:pos="720"/>
          <w:tab w:val="left" w:pos="993" w:leader="none"/>
          <w:tab w:val="left" w:pos="3119" w:leader="none"/>
        </w:tabs>
        <w:ind w:start="741" w:end="-2"/>
        <w:jc w:val="both"/>
        <w:rPr>
          <w:rFonts w:cs="Times New Roman"/>
          <w:color w:val="000000"/>
          <w:u w:val="single"/>
        </w:rPr>
      </w:pPr>
      <w:r>
        <w:rPr>
          <w:rFonts w:cs="Times New Roman"/>
          <w:color w:val="000000"/>
          <w:u w:val="single"/>
        </w:rPr>
      </w:r>
    </w:p>
    <w:p>
      <w:pPr>
        <w:pStyle w:val="Normal"/>
        <w:ind w:hanging="24" w:start="741" w:end="-2"/>
        <w:jc w:val="both"/>
        <w:rPr>
          <w:rFonts w:cs="Times New Roman"/>
          <w:color w:val="000000"/>
        </w:rPr>
      </w:pPr>
      <w:r>
        <w:rPr>
          <w:rFonts w:cs="Times New Roman"/>
          <w:color w:val="000000"/>
        </w:rPr>
        <w:t>Any notice given by Enron shall be deemed to have been received:</w:t>
      </w:r>
    </w:p>
    <w:p>
      <w:pPr>
        <w:pStyle w:val="Normal"/>
        <w:ind w:start="684" w:end="-2"/>
        <w:jc w:val="both"/>
        <w:rPr>
          <w:rFonts w:cs="Times New Roman"/>
          <w:color w:val="000000"/>
        </w:rPr>
      </w:pPr>
      <w:r>
        <w:rPr>
          <w:rFonts w:cs="Times New Roman"/>
          <w:color w:val="000000"/>
        </w:rPr>
      </w:r>
    </w:p>
    <w:p>
      <w:pPr>
        <w:pStyle w:val="Normal"/>
        <w:ind w:hanging="684" w:start="1425" w:end="-2"/>
        <w:jc w:val="both"/>
        <w:rPr>
          <w:rFonts w:cs="Times New Roman"/>
          <w:color w:val="000000"/>
        </w:rPr>
      </w:pPr>
      <w:r>
        <w:rPr>
          <w:rFonts w:cs="Times New Roman"/>
          <w:color w:val="000000"/>
        </w:rPr>
        <w:t>(a)</w:t>
        <w:tab/>
        <w:t>if sent by facsimile transmission, with a confirmed receipt of transmission from the receiving machine, on the Business Day on which transmitted or the following Business Day if transmitted after the normal business hours of the Company;</w:t>
      </w:r>
    </w:p>
    <w:p>
      <w:pPr>
        <w:pStyle w:val="Normal"/>
        <w:ind w:start="741" w:end="-2"/>
        <w:jc w:val="both"/>
        <w:rPr>
          <w:rFonts w:cs="Times New Roman"/>
          <w:color w:val="000000"/>
        </w:rPr>
      </w:pPr>
      <w:r>
        <w:rPr>
          <w:rFonts w:cs="Times New Roman"/>
          <w:color w:val="000000"/>
        </w:rPr>
      </w:r>
    </w:p>
    <w:p>
      <w:pPr>
        <w:pStyle w:val="Normal"/>
        <w:ind w:hanging="684" w:start="1425" w:end="-2"/>
        <w:jc w:val="both"/>
        <w:rPr>
          <w:rFonts w:cs="Times New Roman"/>
          <w:color w:val="000000"/>
        </w:rPr>
      </w:pPr>
      <w:r>
        <w:rPr>
          <w:rFonts w:cs="Times New Roman"/>
          <w:color w:val="000000"/>
        </w:rPr>
        <w:t>(b)</w:t>
        <w:tab/>
        <w:t>in the case of a written notice lodged by hand, on the Business Day of actual delivery or the following Business Day if delivered after the normal business hours of the Company; and</w:t>
      </w:r>
    </w:p>
    <w:p>
      <w:pPr>
        <w:pStyle w:val="Normal"/>
        <w:ind w:start="741" w:end="-2"/>
        <w:jc w:val="both"/>
        <w:rPr>
          <w:rFonts w:cs="Times New Roman"/>
          <w:color w:val="000000"/>
        </w:rPr>
      </w:pPr>
      <w:r>
        <w:rPr>
          <w:rFonts w:cs="Times New Roman"/>
          <w:color w:val="000000"/>
        </w:rPr>
      </w:r>
    </w:p>
    <w:p>
      <w:pPr>
        <w:pStyle w:val="Normal"/>
        <w:ind w:hanging="684" w:start="1425" w:end="-2"/>
        <w:jc w:val="both"/>
        <w:rPr>
          <w:rFonts w:cs="Times New Roman"/>
        </w:rPr>
      </w:pPr>
      <w:r>
        <w:rPr>
          <w:rFonts w:cs="Times New Roman"/>
        </w:rPr>
        <w:t>(c)</w:t>
        <w:tab/>
        <w:t>if posted, on the seventh Business Day following the day on which it was properly despatched by airmail postage prepaid.</w:t>
      </w:r>
    </w:p>
    <w:p>
      <w:pPr>
        <w:pStyle w:val="Normal"/>
        <w:tabs>
          <w:tab w:val="clear" w:pos="720"/>
          <w:tab w:val="left" w:pos="1995" w:leader="none"/>
        </w:tabs>
        <w:ind w:hanging="1002" w:start="1995" w:end="-2"/>
        <w:jc w:val="both"/>
        <w:rPr>
          <w:rFonts w:cs="Times New Roman"/>
        </w:rPr>
      </w:pPr>
      <w:r>
        <w:rPr>
          <w:rFonts w:cs="Times New Roman"/>
        </w:rPr>
      </w:r>
    </w:p>
    <w:p>
      <w:pPr>
        <w:pStyle w:val="section2"/>
        <w:numPr>
          <w:ilvl w:val="0"/>
          <w:numId w:val="0"/>
        </w:numPr>
        <w:ind w:hanging="741" w:start="741" w:end="0"/>
        <w:rPr/>
      </w:pPr>
      <w:r>
        <w:rPr/>
        <w:t>3.5</w:t>
        <w:tab/>
      </w:r>
      <w:r>
        <w:rPr>
          <w:i/>
          <w:iCs/>
        </w:rPr>
        <w:t>No Waiver; Cumulative Remedies</w:t>
      </w:r>
      <w:r>
        <w:rPr/>
        <w:t xml:space="preserve">.  No failure to exercise and no delay in exercising, on the part of the Holder of this Note, any right, remedy, power or privilege hereunder shall operate as a waiver thereof; nor shall any single or partial exercise of any right, remedy, power or privilege hereunder preclude any other or further exercise thereof or the exercise of any other right, remedy, power or privilege.  The rights, remedies, powers and privilege herein provided are cumulative and not exclusive of any rights, remedies, power and privileges provided by law. </w:t>
      </w:r>
    </w:p>
    <w:p>
      <w:pPr>
        <w:pStyle w:val="section2"/>
        <w:numPr>
          <w:ilvl w:val="0"/>
          <w:numId w:val="0"/>
        </w:numPr>
        <w:ind w:hanging="741" w:start="741" w:end="0"/>
        <w:rPr/>
      </w:pPr>
      <w:r>
        <w:rPr/>
        <w:t>3.6</w:t>
        <w:tab/>
      </w:r>
      <w:r>
        <w:rPr>
          <w:i/>
          <w:iCs/>
        </w:rPr>
        <w:t>Payment of Expenses and Taxes</w:t>
      </w:r>
      <w:r>
        <w:rPr/>
        <w:t xml:space="preserve">.  The Company agrees to pay, indemnify, and hold Holder harmless from and against any and all liabilities, obligations, losses, damages, penalties, actions, judgments, suits, costs, expenses or disbursements of any kind or nature whatsoever with respect to the enforcement, performance and administration, and the amendment, modification or supplementation of this Note and any such other documents.  Such obligation shall survive repayment of all amounts payable hereunder. </w:t>
      </w:r>
    </w:p>
    <w:p>
      <w:pPr>
        <w:pStyle w:val="section2"/>
        <w:numPr>
          <w:ilvl w:val="0"/>
          <w:numId w:val="0"/>
        </w:numPr>
        <w:ind w:hanging="741" w:start="741" w:end="0"/>
        <w:rPr/>
      </w:pPr>
      <w:r>
        <w:rPr/>
        <w:t>3.7</w:t>
        <w:tab/>
      </w:r>
      <w:r>
        <w:rPr>
          <w:i/>
          <w:iCs/>
        </w:rPr>
        <w:t>Severability</w:t>
      </w:r>
      <w:r>
        <w:rPr/>
        <w:t xml:space="preserve">.  Any provision of this Note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w:t>
      </w:r>
    </w:p>
    <w:p>
      <w:pPr>
        <w:pStyle w:val="section2"/>
        <w:numPr>
          <w:ilvl w:val="0"/>
          <w:numId w:val="0"/>
        </w:numPr>
        <w:ind w:hanging="741" w:start="741" w:end="0"/>
        <w:rPr/>
      </w:pPr>
      <w:r>
        <w:rPr/>
        <w:t>3.8</w:t>
        <w:tab/>
      </w:r>
      <w:r>
        <w:rPr>
          <w:i/>
          <w:iCs/>
        </w:rPr>
        <w:t>GOVERNING LAW</w:t>
      </w:r>
      <w:r>
        <w:rPr/>
        <w:t xml:space="preserve">.  THIS NOTE SHALL BE GOVERNED BY AND CONSTRUED AND INTERPRETED IN ACCORDANCE WITH, THE LAW OF ENGLAND AND WALES. </w:t>
      </w:r>
    </w:p>
    <w:p>
      <w:pPr>
        <w:pStyle w:val="section2"/>
        <w:numPr>
          <w:ilvl w:val="0"/>
          <w:numId w:val="0"/>
        </w:numPr>
        <w:ind w:hanging="741" w:start="741" w:end="0"/>
        <w:rPr/>
      </w:pPr>
      <w:r>
        <w:rPr/>
        <w:t>3.9</w:t>
        <w:tab/>
      </w:r>
      <w:r>
        <w:rPr>
          <w:i/>
          <w:iCs/>
        </w:rPr>
        <w:t>Amendments in Writing</w:t>
      </w:r>
      <w:r>
        <w:rPr/>
        <w:t xml:space="preserve">.  None of the terms or provisions of this Note may be waived, amended, supplemented or otherwise modified except by a written instrument executed by each of the parties hereto.  Any waiver shall be effective only in the specific instance for the specified purpose which it is given. </w:t>
      </w:r>
    </w:p>
    <w:p>
      <w:pPr>
        <w:pStyle w:val="VEAlignedText"/>
        <w:rPr/>
      </w:pPr>
      <w:r>
        <w:rPr>
          <w:rStyle w:val="VEBold"/>
          <w:rFonts w:cs="Times New Roman"/>
          <w:b w:val="false"/>
          <w:bCs/>
        </w:rPr>
        <w:t>IN WITNESS</w:t>
      </w:r>
      <w:r>
        <w:rPr>
          <w:rFonts w:cs="Times New Roman"/>
        </w:rPr>
        <w:t xml:space="preserve"> whereof this note has been executed by the Company and is intended to be and is hereby delivered on the Issue Date specified above. </w:t>
      </w:r>
      <w:r>
        <w:br w:type="page"/>
      </w:r>
    </w:p>
    <w:p>
      <w:pPr>
        <w:pStyle w:val="VEAlignedText"/>
        <w:jc w:val="center"/>
        <w:rPr/>
      </w:pPr>
      <w:r>
        <w:rPr/>
        <w:t>Amortization Schedule</w:t>
      </w:r>
    </w:p>
    <w:tbl>
      <w:tblPr>
        <w:tblW w:w="8093" w:type="dxa"/>
        <w:jc w:val="start"/>
        <w:tblInd w:w="0" w:type="dxa"/>
        <w:tblLayout w:type="fixed"/>
        <w:tblCellMar>
          <w:top w:w="0" w:type="dxa"/>
          <w:start w:w="108" w:type="dxa"/>
          <w:bottom w:w="0" w:type="dxa"/>
          <w:end w:w="108" w:type="dxa"/>
        </w:tblCellMar>
      </w:tblPr>
      <w:tblGrid>
        <w:gridCol w:w="1618"/>
        <w:gridCol w:w="1618"/>
        <w:gridCol w:w="1619"/>
        <w:gridCol w:w="1619"/>
        <w:gridCol w:w="1619"/>
      </w:tblGrid>
      <w:tr>
        <w:trPr/>
        <w:tc>
          <w:tcPr>
            <w:tcW w:w="1618"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(1)</w:t>
            </w:r>
          </w:p>
        </w:tc>
        <w:tc>
          <w:tcPr>
            <w:tcW w:w="1618"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(2)</w:t>
            </w:r>
          </w:p>
        </w:tc>
        <w:tc>
          <w:tcPr>
            <w:tcW w:w="1619"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(3)</w:t>
            </w:r>
          </w:p>
        </w:tc>
        <w:tc>
          <w:tcPr>
            <w:tcW w:w="1619"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(4)</w:t>
            </w:r>
          </w:p>
        </w:tc>
        <w:tc>
          <w:tcPr>
            <w:tcW w:w="1619"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(5)</w:t>
            </w:r>
          </w:p>
        </w:tc>
      </w:tr>
      <w:tr>
        <w:trPr/>
        <w:tc>
          <w:tcPr>
            <w:tcW w:w="1618"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b/>
                <w:bCs/>
              </w:rPr>
            </w:pPr>
            <w:r>
              <w:rPr>
                <w:rFonts w:cs="Times New Roman"/>
                <w:b/>
                <w:bCs/>
              </w:rPr>
              <w:t>Payment Date</w:t>
            </w:r>
          </w:p>
        </w:tc>
        <w:tc>
          <w:tcPr>
            <w:tcW w:w="1618" w:type="dxa"/>
            <w:tcBorders>
              <w:top w:val="single" w:sz="4" w:space="0" w:color="000000"/>
              <w:start w:val="single" w:sz="4" w:space="0" w:color="000000"/>
              <w:bottom w:val="single" w:sz="4" w:space="0" w:color="000000"/>
              <w:end w:val="single" w:sz="4" w:space="0" w:color="000000"/>
            </w:tcBorders>
          </w:tcPr>
          <w:p>
            <w:pPr>
              <w:pStyle w:val="VEBodyText"/>
              <w:rPr>
                <w:rFonts w:cs="Times New Roman"/>
                <w:b/>
                <w:bCs/>
              </w:rPr>
            </w:pPr>
            <w:r>
              <w:rPr>
                <w:rFonts w:cs="Times New Roman"/>
                <w:b/>
                <w:bCs/>
              </w:rPr>
              <w:t>Interest</w:t>
            </w:r>
          </w:p>
          <w:p>
            <w:pPr>
              <w:pStyle w:val="VEBodyText"/>
              <w:spacing w:before="0" w:after="240"/>
              <w:rPr>
                <w:rFonts w:cs="Times New Roman"/>
                <w:i/>
                <w:i/>
                <w:iCs/>
              </w:rPr>
            </w:pPr>
            <w:r>
              <w:rPr>
                <w:rFonts w:cs="Times New Roman"/>
                <w:i/>
                <w:iCs/>
              </w:rPr>
              <w:t>(including Additional Margin, if applicable)</w:t>
            </w:r>
          </w:p>
        </w:tc>
        <w:tc>
          <w:tcPr>
            <w:tcW w:w="1619"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b/>
                <w:bCs/>
              </w:rPr>
            </w:pPr>
            <w:r>
              <w:rPr>
                <w:rFonts w:cs="Times New Roman"/>
                <w:b/>
                <w:bCs/>
              </w:rPr>
              <w:t>Principal</w:t>
            </w:r>
          </w:p>
        </w:tc>
        <w:tc>
          <w:tcPr>
            <w:tcW w:w="1619" w:type="dxa"/>
            <w:tcBorders>
              <w:top w:val="single" w:sz="4" w:space="0" w:color="000000"/>
              <w:start w:val="single" w:sz="4" w:space="0" w:color="000000"/>
              <w:bottom w:val="single" w:sz="4" w:space="0" w:color="000000"/>
              <w:end w:val="single" w:sz="4" w:space="0" w:color="000000"/>
            </w:tcBorders>
          </w:tcPr>
          <w:p>
            <w:pPr>
              <w:pStyle w:val="VEBodyText"/>
              <w:rPr>
                <w:rFonts w:cs="Times New Roman"/>
                <w:b/>
                <w:bCs/>
              </w:rPr>
            </w:pPr>
            <w:r>
              <w:rPr>
                <w:rFonts w:cs="Times New Roman"/>
                <w:b/>
                <w:bCs/>
              </w:rPr>
              <w:t>Payment Instalment</w:t>
            </w:r>
          </w:p>
          <w:p>
            <w:pPr>
              <w:pStyle w:val="VEBodyText"/>
              <w:spacing w:before="0" w:after="240"/>
              <w:rPr>
                <w:rFonts w:cs="Times New Roman"/>
                <w:i/>
                <w:i/>
                <w:iCs/>
              </w:rPr>
            </w:pPr>
            <w:r>
              <w:rPr>
                <w:rFonts w:cs="Times New Roman"/>
                <w:i/>
                <w:iCs/>
              </w:rPr>
              <w:t>(being the total of columns (2) and (3)</w:t>
            </w:r>
          </w:p>
        </w:tc>
        <w:tc>
          <w:tcPr>
            <w:tcW w:w="1619" w:type="dxa"/>
            <w:tcBorders>
              <w:top w:val="single" w:sz="4" w:space="0" w:color="000000"/>
              <w:start w:val="single" w:sz="4" w:space="0" w:color="000000"/>
              <w:bottom w:val="single" w:sz="4" w:space="0" w:color="000000"/>
              <w:end w:val="single" w:sz="4" w:space="0" w:color="000000"/>
            </w:tcBorders>
          </w:tcPr>
          <w:p>
            <w:pPr>
              <w:pStyle w:val="VEBodyText"/>
              <w:rPr>
                <w:rFonts w:cs="Times New Roman"/>
                <w:b/>
                <w:bCs/>
              </w:rPr>
            </w:pPr>
            <w:r>
              <w:rPr>
                <w:rFonts w:cs="Times New Roman"/>
                <w:b/>
                <w:bCs/>
              </w:rPr>
              <w:t xml:space="preserve">Outstanding Principal Amount </w:t>
            </w:r>
          </w:p>
          <w:p>
            <w:pPr>
              <w:pStyle w:val="VEBodyText"/>
              <w:spacing w:before="0" w:after="240"/>
              <w:rPr>
                <w:rFonts w:cs="Times New Roman"/>
                <w:i/>
                <w:i/>
                <w:iCs/>
              </w:rPr>
            </w:pPr>
            <w:r>
              <w:rPr>
                <w:rFonts w:cs="Times New Roman"/>
                <w:i/>
                <w:iCs/>
              </w:rPr>
              <w:t>(after Payment Instalment is made)</w:t>
            </w:r>
          </w:p>
        </w:tc>
      </w:tr>
      <w:tr>
        <w:trPr/>
        <w:tc>
          <w:tcPr>
            <w:tcW w:w="1618"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31 January 2002</w:t>
            </w:r>
          </w:p>
        </w:tc>
        <w:tc>
          <w:tcPr>
            <w:tcW w:w="1618"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r>
      <w:tr>
        <w:trPr/>
        <w:tc>
          <w:tcPr>
            <w:tcW w:w="1618"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28 February 2002</w:t>
            </w:r>
          </w:p>
        </w:tc>
        <w:tc>
          <w:tcPr>
            <w:tcW w:w="1618"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r>
      <w:tr>
        <w:trPr/>
        <w:tc>
          <w:tcPr>
            <w:tcW w:w="1618" w:type="dxa"/>
            <w:tcBorders>
              <w:top w:val="single" w:sz="4" w:space="0" w:color="000000"/>
              <w:start w:val="single" w:sz="4" w:space="0" w:color="000000"/>
              <w:bottom w:val="single" w:sz="4" w:space="0" w:color="000000"/>
              <w:end w:val="single" w:sz="4" w:space="0" w:color="000000"/>
            </w:tcBorders>
          </w:tcPr>
          <w:p>
            <w:pPr>
              <w:pStyle w:val="VEBodyText"/>
              <w:spacing w:before="0" w:after="240"/>
              <w:rPr>
                <w:rFonts w:cs="Times New Roman"/>
              </w:rPr>
            </w:pPr>
            <w:r>
              <w:rPr>
                <w:rFonts w:cs="Times New Roman"/>
              </w:rPr>
              <w:t>29 March 2002</w:t>
            </w:r>
          </w:p>
        </w:tc>
        <w:tc>
          <w:tcPr>
            <w:tcW w:w="1618"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c>
          <w:tcPr>
            <w:tcW w:w="1619" w:type="dxa"/>
            <w:tcBorders>
              <w:top w:val="single" w:sz="4" w:space="0" w:color="000000"/>
              <w:start w:val="single" w:sz="4" w:space="0" w:color="000000"/>
              <w:bottom w:val="single" w:sz="4" w:space="0" w:color="000000"/>
              <w:end w:val="single" w:sz="4" w:space="0" w:color="000000"/>
            </w:tcBorders>
          </w:tcPr>
          <w:p>
            <w:pPr>
              <w:pStyle w:val="VEBodyText"/>
              <w:snapToGrid w:val="false"/>
              <w:spacing w:before="0" w:after="240"/>
              <w:rPr>
                <w:rFonts w:cs="Times New Roman"/>
              </w:rPr>
            </w:pPr>
            <w:r>
              <w:rPr>
                <w:rFonts w:cs="Times New Roman"/>
              </w:rPr>
            </w:r>
          </w:p>
        </w:tc>
      </w:tr>
    </w:tbl>
    <w:p>
      <w:pPr>
        <w:pStyle w:val="VEBodyText"/>
        <w:rPr>
          <w:rFonts w:cs="Times New Roman"/>
        </w:rPr>
      </w:pPr>
      <w:r>
        <w:rPr>
          <w:rFonts w:cs="Times New Roman"/>
        </w:rPr>
      </w:r>
    </w:p>
    <w:p>
      <w:pPr>
        <w:pStyle w:val="VEAlignedText"/>
        <w:rPr>
          <w:rFonts w:cs="Times New Roman"/>
        </w:rPr>
      </w:pPr>
      <w:r>
        <w:rPr>
          <w:rFonts w:cs="Times New Roman"/>
        </w:rPr>
      </w:r>
    </w:p>
    <w:p>
      <w:pPr>
        <w:pStyle w:val="VEBodyText"/>
        <w:rPr>
          <w:rFonts w:cs="Times New Roman"/>
        </w:rPr>
      </w:pPr>
      <w:r>
        <w:rPr>
          <w:rFonts w:cs="Times New Roman"/>
        </w:rPr>
      </w:r>
    </w:p>
    <w:tbl>
      <w:tblPr>
        <w:tblW w:w="8424" w:type="dxa"/>
        <w:jc w:val="start"/>
        <w:tblInd w:w="0" w:type="dxa"/>
        <w:tblLayout w:type="fixed"/>
        <w:tblCellMar>
          <w:top w:w="0" w:type="dxa"/>
          <w:start w:w="108" w:type="dxa"/>
          <w:bottom w:w="0" w:type="dxa"/>
          <w:end w:w="108" w:type="dxa"/>
        </w:tblCellMar>
      </w:tblPr>
      <w:tblGrid>
        <w:gridCol w:w="3925"/>
        <w:gridCol w:w="239"/>
        <w:gridCol w:w="4260"/>
      </w:tblGrid>
      <w:tr>
        <w:trPr/>
        <w:tc>
          <w:tcPr>
            <w:tcW w:w="3925" w:type="dxa"/>
            <w:tcBorders/>
          </w:tcPr>
          <w:p>
            <w:pPr>
              <w:pStyle w:val="VEBodyText"/>
              <w:spacing w:before="0" w:after="240"/>
              <w:rPr/>
            </w:pPr>
            <w:r>
              <w:rPr>
                <w:rStyle w:val="VEBold"/>
                <w:rFonts w:cs="Times New Roman"/>
                <w:b w:val="false"/>
                <w:bCs/>
              </w:rPr>
              <w:t>EXECUTED </w:t>
            </w:r>
            <w:r>
              <w:rPr>
                <w:rFonts w:cs="Times New Roman"/>
              </w:rPr>
              <w:t>as a deed by GREENFIELD SHIPPING COMPANY LIMITED acting by its duly authorised officers</w:t>
            </w:r>
          </w:p>
        </w:tc>
        <w:tc>
          <w:tcPr>
            <w:tcW w:w="239" w:type="dxa"/>
            <w:tcBorders/>
          </w:tcPr>
          <w:p>
            <w:pPr>
              <w:pStyle w:val="VEBodyText"/>
              <w:spacing w:before="0" w:after="240"/>
              <w:rPr>
                <w:rFonts w:cs="Times New Roman"/>
              </w:rPr>
            </w:pPr>
            <w:r>
              <w:rPr>
                <w:rFonts w:cs="Times New Roman"/>
              </w:rPr>
              <w:t>))))</w:t>
            </w:r>
          </w:p>
        </w:tc>
        <w:tc>
          <w:tcPr>
            <w:tcW w:w="4260" w:type="dxa"/>
            <w:tcBorders/>
          </w:tcPr>
          <w:p>
            <w:pPr>
              <w:pStyle w:val="VEBodyText"/>
              <w:snapToGrid w:val="false"/>
              <w:rPr>
                <w:rFonts w:cs="Times New Roman"/>
              </w:rPr>
            </w:pPr>
            <w:r>
              <w:rPr>
                <w:rFonts w:cs="Times New Roman"/>
              </w:rPr>
            </w:r>
          </w:p>
          <w:p>
            <w:pPr>
              <w:pStyle w:val="VEBodyText"/>
              <w:rPr>
                <w:rFonts w:cs="Times New Roman"/>
              </w:rPr>
            </w:pPr>
            <w:r>
              <w:rPr>
                <w:rFonts w:cs="Times New Roman"/>
              </w:rPr>
            </w:r>
          </w:p>
          <w:p>
            <w:pPr>
              <w:pStyle w:val="VEBodyText"/>
              <w:rPr>
                <w:rFonts w:cs="Times New Roman"/>
              </w:rPr>
            </w:pPr>
            <w:r>
              <w:rPr>
                <w:rFonts w:cs="Times New Roman"/>
              </w:rPr>
              <w:t>…………………………………………</w:t>
            </w:r>
            <w:r>
              <w:rPr>
                <w:rFonts w:cs="Times New Roman"/>
              </w:rPr>
              <w:t>.</w:t>
            </w:r>
          </w:p>
          <w:p>
            <w:pPr>
              <w:pStyle w:val="VEBodyText"/>
              <w:rPr>
                <w:rFonts w:cs="Times New Roman"/>
              </w:rPr>
            </w:pPr>
            <w:r>
              <w:rPr>
                <w:rFonts w:cs="Times New Roman"/>
              </w:rPr>
            </w:r>
          </w:p>
          <w:p>
            <w:pPr>
              <w:pStyle w:val="VEBodyText"/>
              <w:rPr>
                <w:rFonts w:cs="Times New Roman"/>
              </w:rPr>
            </w:pPr>
            <w:r>
              <w:rPr>
                <w:rFonts w:cs="Times New Roman"/>
              </w:rPr>
              <w:t>…………………………………………</w:t>
            </w:r>
            <w:r>
              <w:rPr>
                <w:rFonts w:cs="Times New Roman"/>
              </w:rPr>
              <w:t>.</w:t>
            </w:r>
          </w:p>
          <w:p>
            <w:pPr>
              <w:pStyle w:val="VEBodyText"/>
              <w:spacing w:before="0" w:after="240"/>
              <w:rPr>
                <w:rFonts w:cs="Times New Roman"/>
              </w:rPr>
            </w:pPr>
            <w:r>
              <w:rPr>
                <w:rFonts w:cs="Times New Roman"/>
              </w:rPr>
            </w:r>
          </w:p>
        </w:tc>
      </w:tr>
    </w:tbl>
    <w:p>
      <w:pPr>
        <w:pStyle w:val="VEBodyText"/>
        <w:rPr>
          <w:rFonts w:cs="Times New Roman"/>
        </w:rPr>
      </w:pPr>
      <w:r>
        <w:rPr>
          <w:rFonts w:cs="Times New Roman"/>
        </w:rPr>
      </w:r>
    </w:p>
    <w:p>
      <w:pPr>
        <w:pStyle w:val="VEBodyText"/>
        <w:tabs>
          <w:tab w:val="clear" w:pos="720"/>
          <w:tab w:val="left" w:pos="4320" w:leader="none"/>
        </w:tabs>
        <w:rPr>
          <w:rFonts w:cs="Times New Roman"/>
        </w:rPr>
      </w:pPr>
      <w:r>
        <w:rPr>
          <w:rFonts w:cs="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Style w:val="VEDocumentInformation"/>
          <w:rFonts w:cs="Times New Roman"/>
          <w:sz w:val="24"/>
        </w:rPr>
      </w:pPr>
      <w:r>
        <w:rPr>
          <w:rStyle w:val="VEDocumentInformation"/>
          <w:rFonts w:cs="Times New Roman"/>
          <w:sz w:val="24"/>
        </w:rPr>
        <w:fldChar w:fldCharType="begin"/>
      </w:r>
      <w:r>
        <w:rPr>
          <w:rStyle w:val="VEDocumentInformation"/>
          <w:sz w:val="24"/>
          <w:rFonts w:cs="Times New Roman"/>
        </w:rPr>
        <w:instrText xml:space="preserve"> FILENAME </w:instrText>
      </w:r>
      <w:r>
        <w:rPr>
          <w:rStyle w:val="VEDocumentInformation"/>
          <w:sz w:val="24"/>
          <w:rFonts w:cs="Times New Roman"/>
        </w:rPr>
        <w:fldChar w:fldCharType="separate"/>
      </w:r>
      <w:r>
        <w:rPr>
          <w:rStyle w:val="VEDocumentInformation"/>
          <w:sz w:val="24"/>
          <w:rFonts w:cs="Times New Roman"/>
        </w:rPr>
        <w:t>GREENFIELD_EQUITY_SALE_Greenfield_Loan_Note__11_12_01_.DOC</w:t>
      </w:r>
      <w:r>
        <w:rPr>
          <w:rStyle w:val="VEDocumentInformation"/>
          <w:sz w:val="24"/>
          <w:rFonts w:cs="Times New Roman"/>
        </w:rPr>
        <w:fldChar w:fldCharType="end"/>
      </w:r>
    </w:p>
    <w:p>
      <w:pPr>
        <w:pStyle w:val="Normal"/>
        <w:rPr>
          <w:rStyle w:val="VEDocumentInformation"/>
          <w:rFonts w:cs="Times New Roman"/>
          <w:sz w:val="24"/>
        </w:rPr>
      </w:pPr>
      <w:r>
        <w:rPr/>
      </w:r>
    </w:p>
    <w:sectPr>
      <w:type w:val="nextPage"/>
      <w:pgSz w:w="11906" w:h="16838"/>
      <w:pgMar w:left="2160" w:right="1872" w:gutter="0" w:header="0" w:top="2160" w:footer="0" w:bottom="180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720" w:firstLine="720"/>
      </w:pPr>
      <w:rPr/>
    </w:lvl>
    <w:lvl w:ilvl="1">
      <w:start w:val="1"/>
      <w:isLgl/>
      <w:numFmt w:val="decimal"/>
      <w:lvlText w:val="%1.%2"/>
      <w:lvlJc w:val="start"/>
      <w:pPr>
        <w:tabs>
          <w:tab w:val="num" w:pos="1440"/>
        </w:tabs>
        <w:ind w:start="720" w:firstLine="1440"/>
      </w:pPr>
      <w:rPr/>
    </w:lvl>
    <w:lvl w:ilvl="2">
      <w:start w:val="1"/>
      <w:numFmt w:val="decimal"/>
      <w:lvlText w:val="%3"/>
      <w:lvlJc w:val="start"/>
      <w:pPr>
        <w:ind w:start="720" w:hanging="0"/>
      </w:pPr>
      <w:rPr/>
    </w:lvl>
    <w:lvl w:ilvl="3">
      <w:start w:val="1"/>
      <w:numFmt w:val="decimal"/>
      <w:lvlText w:val="%4"/>
      <w:lvlJc w:val="start"/>
      <w:pPr>
        <w:ind w:start="720" w:hanging="0"/>
      </w:pPr>
      <w:rPr/>
    </w:lvl>
    <w:lvl w:ilvl="4">
      <w:start w:val="1"/>
      <w:numFmt w:val="decimal"/>
      <w:lvlText w:val="%5"/>
      <w:lvlJc w:val="start"/>
      <w:pPr>
        <w:ind w:start="720" w:hanging="0"/>
      </w:pPr>
      <w:rPr/>
    </w:lvl>
    <w:lvl w:ilvl="5">
      <w:start w:val="1"/>
      <w:numFmt w:val="decimal"/>
      <w:lvlText w:val="%6"/>
      <w:lvlJc w:val="start"/>
      <w:pPr>
        <w:ind w:start="720" w:hanging="0"/>
      </w:pPr>
      <w:rPr/>
    </w:lvl>
    <w:lvl w:ilvl="6">
      <w:start w:val="1"/>
      <w:numFmt w:val="decimal"/>
      <w:lvlText w:val="%7"/>
      <w:lvlJc w:val="start"/>
      <w:pPr>
        <w:ind w:start="720" w:hanging="0"/>
      </w:pPr>
      <w:rPr/>
    </w:lvl>
    <w:lvl w:ilvl="7">
      <w:start w:val="1"/>
      <w:numFmt w:val="decimal"/>
      <w:lvlText w:val="%8"/>
      <w:lvlJc w:val="start"/>
      <w:pPr>
        <w:ind w:start="720" w:hanging="0"/>
      </w:pPr>
      <w:rPr/>
    </w:lvl>
    <w:lvl w:ilvl="8">
      <w:start w:val="0"/>
      <w:numFmt w:val="decimal"/>
      <w:lvlText w:val=""/>
      <w:lvlJc w:val="start"/>
      <w:pPr>
        <w:ind w:start="720" w:hanging="0"/>
      </w:pPr>
      <w:r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GB"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7z8">
    <w:name w:val="WW8Num17z8"/>
    <w:qFormat/>
    <w:rPr>
      <w:rFonts w:ascii="Symbol" w:hAnsi="Symbol" w:cs="Symbol"/>
      <w:color w:val="000000"/>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spacing w:before="0" w:after="240"/>
    </w:pPr>
    <w:rPr/>
  </w:style>
  <w:style w:type="paragraph" w:styleId="VEBodyText1">
    <w:name w:val="VE Body Text 1"/>
    <w:basedOn w:val="VENormal"/>
    <w:qFormat/>
    <w:pPr>
      <w:spacing w:before="0" w:after="240"/>
      <w:ind w:hanging="684" w:start="1425" w:end="0"/>
    </w:pPr>
    <w:rPr/>
  </w:style>
  <w:style w:type="paragraph" w:styleId="VEBodyText2">
    <w:name w:val="VE Body Text 2"/>
    <w:basedOn w:val="VENormal"/>
    <w:qFormat/>
    <w:pPr>
      <w:spacing w:before="0" w:after="240"/>
      <w:ind w:hanging="741" w:start="2166" w:end="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section1">
    <w:name w:val="section1"/>
    <w:basedOn w:val="Normal"/>
    <w:qFormat/>
    <w:pPr>
      <w:keepNext w:val="true"/>
      <w:keepLines/>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autoSpaceDE w:val="false"/>
      <w:spacing w:before="0" w:after="240"/>
      <w:jc w:val="both"/>
      <w:outlineLvl w:val="0"/>
    </w:pPr>
    <w:rPr>
      <w:rFonts w:cs="Times New Roman"/>
      <w:lang w:val="en-US"/>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7"/>
      </w:numPr>
      <w:spacing w:before="0" w:after="240"/>
      <w:outlineLvl w:val="0"/>
    </w:pPr>
    <w:rPr>
      <w:bCs/>
    </w:rPr>
  </w:style>
  <w:style w:type="paragraph" w:styleId="VENumbered2">
    <w:name w:val="VE Numbered 2"/>
    <w:basedOn w:val="VENormal"/>
    <w:next w:val="VEBodyTextFLI"/>
    <w:qFormat/>
    <w:pPr>
      <w:numPr>
        <w:ilvl w:val="0"/>
        <w:numId w:val="7"/>
      </w:numPr>
      <w:spacing w:before="0" w:after="240"/>
      <w:outlineLvl w:val="1"/>
    </w:pPr>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section2">
    <w:name w:val="section2"/>
    <w:basedOn w:val="Normal"/>
    <w:qFormat/>
    <w:pPr>
      <w:numPr>
        <w:ilvl w:val="0"/>
        <w:numId w:val="1"/>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autoSpaceDE w:val="false"/>
      <w:spacing w:before="0" w:after="240"/>
      <w:jc w:val="both"/>
      <w:outlineLvl w:val="1"/>
    </w:pPr>
    <w:rPr>
      <w:rFonts w:cs="Times New Roman"/>
      <w:lang w:val="en-U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
    <w:qFormat/>
    <w:pPr>
      <w:numPr>
        <w:ilvl w:val="0"/>
        <w:numId w:val="6"/>
      </w:numPr>
      <w:spacing w:before="0" w:after="240"/>
      <w:ind w:hanging="0" w:start="0" w:end="0"/>
      <w:jc w:val="start"/>
    </w:pPr>
    <w:rPr/>
  </w:style>
  <w:style w:type="paragraph" w:styleId="VESchedule2">
    <w:name w:val="VE Schedule 2"/>
    <w:basedOn w:val="VENormal"/>
    <w:next w:val="VEBodyText"/>
    <w:qFormat/>
    <w:pPr>
      <w:numPr>
        <w:ilvl w:val="0"/>
        <w:numId w:val="6"/>
      </w:numPr>
      <w:tabs>
        <w:tab w:val="clear" w:pos="720"/>
      </w:tabs>
      <w:spacing w:before="0" w:after="240"/>
      <w:ind w:hanging="0" w:start="0" w:end="0"/>
    </w:pPr>
    <w:rPr/>
  </w:style>
  <w:style w:type="paragraph" w:styleId="VESchedule3">
    <w:name w:val="VE Schedule 3"/>
    <w:basedOn w:val="VENormal"/>
    <w:next w:val="VEBodyText"/>
    <w:qFormat/>
    <w:pPr>
      <w:numPr>
        <w:ilvl w:val="0"/>
        <w:numId w:val="6"/>
      </w:numPr>
      <w:tabs>
        <w:tab w:val="clear" w:pos="720"/>
      </w:tabs>
      <w:spacing w:before="0" w:after="240"/>
      <w:ind w:hanging="0" w:start="0" w:end="0"/>
    </w:pPr>
    <w:rPr/>
  </w:style>
  <w:style w:type="paragraph" w:styleId="VESchedule4">
    <w:name w:val="VE Schedule 4"/>
    <w:basedOn w:val="VENormal"/>
    <w:next w:val="VEBodyText"/>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2001-11-12T18:15:00Z</dcterms:created>
  <dc:creator> </dc:creator>
  <dc:description/>
  <dc:language>en-CA</dc:language>
  <cp:lastModifiedBy>Dan Rogers</cp:lastModifiedBy>
  <cp:lastPrinted>2001-11-12T14:45:00Z</cp:lastPrinted>
  <dcterms:modified xsi:type="dcterms:W3CDTF">2001-11-12T18:15:00Z</dcterms:modified>
  <cp:revision>2</cp:revision>
  <dc:subject/>
  <dc:title>GREENFIELD SHIPPING COMPANY LIMITED</dc:title>
</cp:coreProperties>
</file>