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single" w:sz="4" w:space="1" w:color="000000"/>
          <w:left w:val="single" w:sz="4" w:space="4" w:color="000000"/>
          <w:bottom w:val="single" w:sz="4" w:space="1" w:color="000000"/>
          <w:right w:val="single" w:sz="4" w:space="4" w:color="000000"/>
        </w:pBdr>
        <w:rPr/>
      </w:pPr>
      <w:r>
        <w:rPr/>
      </w:r>
    </w:p>
    <w:p>
      <w:pPr>
        <w:pStyle w:val="Heading"/>
        <w:pBdr>
          <w:top w:val="single" w:sz="4" w:space="1" w:color="000000"/>
          <w:left w:val="single" w:sz="4" w:space="4" w:color="000000"/>
          <w:bottom w:val="single" w:sz="4" w:space="1" w:color="000000"/>
          <w:right w:val="single" w:sz="4" w:space="4" w:color="000000"/>
        </w:pBdr>
        <w:rPr>
          <w:color w:val="000000"/>
          <w:effect w:val="blinkBackground"/>
        </w:rPr>
      </w:pPr>
      <w:r>
        <w:rPr>
          <w:color w:val="000000"/>
          <w:effect w:val="blinkBackground"/>
        </w:rPr>
        <w:t>GOVERNMENT AFFAIRS STAFF MEETING, MONDAY 29 MAY 2001</w:t>
      </w:r>
    </w:p>
    <w:p>
      <w:pPr>
        <w:pStyle w:val="Heading"/>
        <w:pBdr>
          <w:top w:val="single" w:sz="4" w:space="1" w:color="000000"/>
          <w:left w:val="single" w:sz="4" w:space="4" w:color="000000"/>
          <w:bottom w:val="single" w:sz="4" w:space="1" w:color="000000"/>
          <w:right w:val="single" w:sz="4" w:space="4" w:color="000000"/>
        </w:pBdr>
        <w:rPr>
          <w:color w:val="000000"/>
          <w:effect w:val="blinkBackground"/>
        </w:rPr>
      </w:pPr>
      <w:r>
        <w:rPr>
          <w:color w:val="000000"/>
          <w:effect w:val="blinkBackground"/>
        </w:rPr>
      </w:r>
    </w:p>
    <w:p>
      <w:pPr>
        <w:pStyle w:val="Normal"/>
        <w:jc w:val="both"/>
        <w:rPr>
          <w:color w:val="000000"/>
        </w:rPr>
      </w:pPr>
      <w:r>
        <w:rPr>
          <w:color w:val="000000"/>
        </w:rPr>
      </w:r>
    </w:p>
    <w:p>
      <w:pPr>
        <w:pStyle w:val="Normal"/>
        <w:jc w:val="both"/>
        <w:rPr>
          <w:color w:val="000000"/>
          <w:szCs w:val="20"/>
          <w:lang w:val="en-US"/>
        </w:rPr>
      </w:pPr>
      <w:r>
        <w:rPr>
          <w:color w:val="000000"/>
          <w:szCs w:val="20"/>
          <w:lang w:val="en-US"/>
        </w:rPr>
      </w:r>
    </w:p>
    <w:p>
      <w:pPr>
        <w:pStyle w:val="Normal"/>
        <w:autoSpaceDE w:val="false"/>
        <w:jc w:val="both"/>
        <w:rPr>
          <w:b/>
          <w:bCs/>
          <w:color w:val="000000"/>
          <w:sz w:val="28"/>
          <w:szCs w:val="20"/>
          <w:lang w:val="en-US"/>
        </w:rPr>
      </w:pPr>
      <w:r>
        <w:rPr>
          <w:b/>
          <w:bCs/>
          <w:color w:val="000000"/>
          <w:sz w:val="28"/>
          <w:szCs w:val="20"/>
          <w:lang w:val="en-US"/>
        </w:rPr>
        <w:t>Paul Dawson</w:t>
      </w:r>
    </w:p>
    <w:p>
      <w:pPr>
        <w:pStyle w:val="Normal"/>
        <w:autoSpaceDE w:val="false"/>
        <w:jc w:val="both"/>
        <w:rPr>
          <w:b/>
          <w:bCs/>
          <w:color w:val="000000"/>
          <w:sz w:val="28"/>
          <w:szCs w:val="20"/>
          <w:lang w:val="en-US"/>
        </w:rPr>
      </w:pPr>
      <w:r>
        <w:rPr>
          <w:b/>
          <w:bCs/>
          <w:color w:val="000000"/>
          <w:sz w:val="28"/>
          <w:szCs w:val="20"/>
          <w:lang w:val="en-US"/>
        </w:rPr>
      </w:r>
    </w:p>
    <w:p>
      <w:pPr>
        <w:pStyle w:val="Heading1"/>
        <w:spacing w:lineRule="atLeast" w:line="240"/>
        <w:ind w:hanging="0" w:start="0"/>
        <w:jc w:val="both"/>
        <w:rPr/>
      </w:pPr>
      <w:r>
        <w:rPr/>
        <w:t>UK Power</w:t>
      </w:r>
    </w:p>
    <w:p>
      <w:pPr>
        <w:pStyle w:val="Normal"/>
        <w:tabs>
          <w:tab w:val="left" w:pos="720" w:leader="none"/>
        </w:tabs>
        <w:spacing w:lineRule="atLeast" w:line="240"/>
        <w:ind w:hanging="360" w:start="720" w:end="0"/>
        <w:jc w:val="both"/>
        <w:rPr/>
      </w:pPr>
      <w:r>
        <w:rPr>
          <w:rFonts w:cs="Symbol" w:ascii="Symbol" w:hAnsi="Symbol"/>
          <w:color w:val="000000"/>
        </w:rPr>
        <w:sym w:font="Symbol" w:char="f0b7"/>
      </w:r>
      <w:r>
        <w:rPr>
          <w:rFonts w:cs="Symbol" w:ascii="Symbol" w:hAnsi="Symbol"/>
          <w:color w:val="000000"/>
        </w:rPr>
        <w:tab/>
      </w:r>
      <w:r>
        <w:rPr>
          <w:color w:val="000000"/>
        </w:rPr>
        <w:t>NETA modifications to reduce the levels and improve predictability of cash-out prices: Panel meeting on Thursday, Expert Group Meeting on Friday.</w:t>
      </w:r>
    </w:p>
    <w:p>
      <w:pPr>
        <w:pStyle w:val="Normal"/>
        <w:spacing w:lineRule="atLeast" w:line="240"/>
        <w:ind w:hanging="360" w:start="720" w:end="0"/>
        <w:jc w:val="both"/>
        <w:rPr/>
      </w:pPr>
      <w:r>
        <w:rPr>
          <w:rFonts w:cs="Symbol" w:ascii="Symbol" w:hAnsi="Symbol"/>
          <w:color w:val="000000"/>
        </w:rPr>
        <w:sym w:font="Symbol" w:char="f0b7"/>
      </w:r>
      <w:r>
        <w:rPr>
          <w:rFonts w:cs="Symbol" w:ascii="Symbol" w:hAnsi="Symbol"/>
          <w:color w:val="000000"/>
        </w:rPr>
        <w:tab/>
      </w:r>
      <w:r>
        <w:rPr>
          <w:color w:val="000000"/>
        </w:rPr>
        <w:t>Transmission access consultation released, responses due mid-July.  (Internal meeting on Thursday.)</w:t>
      </w:r>
    </w:p>
    <w:p>
      <w:pPr>
        <w:pStyle w:val="Heading1"/>
        <w:spacing w:lineRule="atLeast" w:line="240"/>
        <w:ind w:hanging="0" w:start="0"/>
        <w:jc w:val="both"/>
        <w:rPr/>
      </w:pPr>
      <w:r>
        <w:rPr/>
        <w:t>UK Rail</w:t>
      </w:r>
    </w:p>
    <w:p>
      <w:pPr>
        <w:pStyle w:val="Normal"/>
        <w:tabs>
          <w:tab w:val="left" w:pos="720" w:leader="none"/>
        </w:tabs>
        <w:spacing w:lineRule="atLeast" w:line="240"/>
        <w:ind w:hanging="360" w:start="720" w:end="0"/>
        <w:jc w:val="both"/>
        <w:rPr/>
      </w:pPr>
      <w:r>
        <w:rPr>
          <w:rFonts w:cs="Symbol" w:ascii="Symbol" w:hAnsi="Symbol"/>
          <w:color w:val="000000"/>
        </w:rPr>
        <w:sym w:font="Symbol" w:char="f0b7"/>
      </w:r>
      <w:r>
        <w:rPr>
          <w:rFonts w:cs="Symbol" w:ascii="Symbol" w:hAnsi="Symbol"/>
          <w:color w:val="000000"/>
        </w:rPr>
        <w:tab/>
      </w:r>
      <w:r>
        <w:rPr>
          <w:color w:val="000000"/>
        </w:rPr>
        <w:t>Complaint against rail service provider for abuse of dominance - second phase of investigation has been launched</w:t>
      </w:r>
    </w:p>
    <w:p>
      <w:pPr>
        <w:pStyle w:val="Normal"/>
        <w:spacing w:lineRule="atLeast" w:line="240"/>
        <w:jc w:val="both"/>
        <w:rPr>
          <w:color w:val="000000"/>
        </w:rPr>
      </w:pPr>
      <w:r>
        <w:rPr>
          <w:color w:val="000000"/>
        </w:rPr>
        <w:t>UK Gas</w:t>
      </w:r>
    </w:p>
    <w:p>
      <w:pPr>
        <w:pStyle w:val="Normal"/>
        <w:tabs>
          <w:tab w:val="left" w:pos="720" w:leader="none"/>
        </w:tabs>
        <w:spacing w:lineRule="atLeast" w:line="240"/>
        <w:ind w:hanging="360" w:start="720" w:end="0"/>
        <w:jc w:val="both"/>
        <w:rPr/>
      </w:pPr>
      <w:r>
        <w:rPr>
          <w:rFonts w:cs="Symbol" w:ascii="Symbol" w:hAnsi="Symbol"/>
          <w:color w:val="000000"/>
        </w:rPr>
        <w:sym w:font="Symbol" w:char="f0b7"/>
      </w:r>
      <w:r>
        <w:rPr>
          <w:rFonts w:cs="Symbol" w:ascii="Symbol" w:hAnsi="Symbol"/>
          <w:color w:val="000000"/>
        </w:rPr>
        <w:tab/>
      </w:r>
      <w:r>
        <w:rPr>
          <w:color w:val="000000"/>
        </w:rPr>
        <w:t>Transco consultation on future investment requirements</w:t>
      </w:r>
    </w:p>
    <w:p>
      <w:pPr>
        <w:pStyle w:val="Normal"/>
        <w:spacing w:lineRule="atLeast" w:line="240"/>
        <w:ind w:hanging="360" w:start="720" w:end="0"/>
        <w:jc w:val="both"/>
        <w:rPr>
          <w:color w:val="000000"/>
        </w:rPr>
      </w:pPr>
      <w:r>
        <w:rPr>
          <w:rFonts w:cs="Symbol" w:ascii="Symbol" w:hAnsi="Symbol"/>
          <w:color w:val="000000"/>
        </w:rPr>
        <w:sym w:font="Symbol" w:char="f0b7"/>
      </w:r>
      <w:r>
        <w:rPr>
          <w:rFonts w:cs="Symbol" w:ascii="Symbol" w:hAnsi="Symbol"/>
          <w:color w:val="000000"/>
        </w:rPr>
        <w:tab/>
      </w:r>
      <w:r>
        <w:rPr>
          <w:color w:val="000000"/>
        </w:rPr>
        <w:t>Output Measures consultation response due Thurs 31</w:t>
      </w:r>
      <w:r>
        <w:rPr>
          <w:color w:val="000000"/>
          <w:vertAlign w:val="superscript"/>
        </w:rPr>
        <w:t>st</w:t>
      </w:r>
    </w:p>
    <w:p>
      <w:pPr>
        <w:pStyle w:val="Normal"/>
        <w:tabs>
          <w:tab w:val="left" w:pos="720" w:leader="none"/>
        </w:tabs>
        <w:ind w:hanging="360" w:start="720" w:end="0"/>
        <w:jc w:val="both"/>
        <w:rPr/>
      </w:pPr>
      <w:r>
        <w:rPr>
          <w:rFonts w:cs="Symbol" w:ascii="Symbol" w:hAnsi="Symbol"/>
          <w:color w:val="000000"/>
        </w:rPr>
        <w:sym w:font="Symbol" w:char="f0b7"/>
      </w:r>
      <w:r>
        <w:rPr>
          <w:rFonts w:cs="Symbol" w:ascii="Symbol" w:hAnsi="Symbol"/>
          <w:color w:val="000000"/>
        </w:rPr>
        <w:tab/>
      </w:r>
      <w:r>
        <w:rPr>
          <w:color w:val="000000"/>
        </w:rPr>
        <w:t>Work to publish indicative tariffs for access to Teesside infrastructure</w:t>
      </w:r>
    </w:p>
    <w:p>
      <w:pPr>
        <w:pStyle w:val="Normal"/>
        <w:autoSpaceDE w:val="false"/>
        <w:jc w:val="both"/>
        <w:rPr>
          <w:b/>
          <w:bCs/>
          <w:color w:val="000000"/>
          <w:szCs w:val="20"/>
          <w:lang w:val="en-US"/>
        </w:rPr>
      </w:pPr>
      <w:r>
        <w:rPr>
          <w:b/>
          <w:bCs/>
          <w:color w:val="000000"/>
          <w:szCs w:val="20"/>
          <w:lang w:val="en-US"/>
        </w:rPr>
      </w:r>
    </w:p>
    <w:p>
      <w:pPr>
        <w:pStyle w:val="Heading4"/>
        <w:ind w:hanging="0" w:start="0"/>
        <w:rPr/>
      </w:pPr>
      <w:r>
        <w:rPr/>
        <w:t>Brendan Devlin</w:t>
      </w:r>
    </w:p>
    <w:p>
      <w:pPr>
        <w:pStyle w:val="Normal"/>
        <w:autoSpaceDE w:val="false"/>
        <w:spacing w:lineRule="atLeast" w:line="240"/>
        <w:jc w:val="both"/>
        <w:rPr>
          <w:color w:val="000000"/>
          <w:szCs w:val="20"/>
          <w:lang w:val="en-US"/>
        </w:rPr>
      </w:pPr>
      <w:r>
        <w:rPr>
          <w:color w:val="000000"/>
          <w:szCs w:val="20"/>
          <w:lang w:val="en-US"/>
        </w:rPr>
      </w:r>
    </w:p>
    <w:p>
      <w:pPr>
        <w:pStyle w:val="Heading2"/>
        <w:ind w:hanging="0" w:start="0"/>
        <w:rPr>
          <w:sz w:val="28"/>
        </w:rPr>
      </w:pPr>
      <w:r>
        <w:rPr>
          <w:sz w:val="28"/>
        </w:rPr>
        <w:t>Nailia Dindarova</w:t>
      </w:r>
    </w:p>
    <w:p>
      <w:pPr>
        <w:pStyle w:val="Normal"/>
        <w:autoSpaceDE w:val="false"/>
        <w:jc w:val="both"/>
        <w:rPr>
          <w:color w:val="000000"/>
          <w:sz w:val="28"/>
          <w:szCs w:val="20"/>
          <w:lang w:val="en-US"/>
        </w:rPr>
      </w:pPr>
      <w:r>
        <w:rPr>
          <w:color w:val="000000"/>
          <w:sz w:val="28"/>
          <w:szCs w:val="20"/>
          <w:lang w:val="en-US"/>
        </w:rPr>
      </w:r>
    </w:p>
    <w:p>
      <w:pPr>
        <w:pStyle w:val="Normal"/>
        <w:numPr>
          <w:ilvl w:val="0"/>
          <w:numId w:val="4"/>
        </w:numPr>
        <w:autoSpaceDE w:val="false"/>
        <w:spacing w:lineRule="atLeast" w:line="240"/>
        <w:rPr>
          <w:color w:val="000000"/>
          <w:szCs w:val="20"/>
          <w:lang w:val="en-US"/>
        </w:rPr>
      </w:pPr>
      <w:r>
        <w:rPr>
          <w:color w:val="000000"/>
          <w:szCs w:val="20"/>
          <w:lang w:val="en-US"/>
        </w:rPr>
        <w:t>. Bullet points from Brussels (those market with asterix are recommended for discussion at the staff meeting)</w:t>
      </w:r>
    </w:p>
    <w:p>
      <w:pPr>
        <w:pStyle w:val="Normal"/>
        <w:autoSpaceDE w:val="false"/>
        <w:spacing w:lineRule="atLeast" w:line="240"/>
        <w:ind w:start="360" w:end="0"/>
        <w:rPr>
          <w:color w:val="000000"/>
          <w:szCs w:val="20"/>
          <w:lang w:val="en-US"/>
        </w:rPr>
      </w:pPr>
      <w:r>
        <w:rPr>
          <w:color w:val="000000"/>
          <w:szCs w:val="20"/>
          <w:lang w:val="en-US"/>
        </w:rPr>
      </w:r>
    </w:p>
    <w:p>
      <w:pPr>
        <w:pStyle w:val="Normal"/>
        <w:numPr>
          <w:ilvl w:val="0"/>
          <w:numId w:val="4"/>
        </w:numPr>
        <w:autoSpaceDE w:val="false"/>
        <w:spacing w:lineRule="atLeast" w:line="240"/>
        <w:rPr>
          <w:color w:val="000000"/>
          <w:szCs w:val="20"/>
          <w:lang w:val="en-US"/>
        </w:rPr>
      </w:pPr>
      <w:r>
        <w:rPr>
          <w:color w:val="000000"/>
          <w:szCs w:val="20"/>
          <w:lang w:val="en-US"/>
        </w:rPr>
        <w:t xml:space="preserve">Energy Council of May 14-15. The Conclusions related to the internal market in electricity and gas have been circulated. </w:t>
      </w:r>
    </w:p>
    <w:p>
      <w:pPr>
        <w:pStyle w:val="Normal"/>
        <w:numPr>
          <w:ilvl w:val="0"/>
          <w:numId w:val="4"/>
        </w:numPr>
        <w:autoSpaceDE w:val="false"/>
        <w:spacing w:lineRule="atLeast" w:line="240"/>
        <w:rPr>
          <w:color w:val="000000"/>
          <w:szCs w:val="20"/>
          <w:lang w:val="en-US"/>
        </w:rPr>
      </w:pPr>
      <w:r>
        <w:rPr>
          <w:color w:val="000000"/>
          <w:szCs w:val="20"/>
          <w:lang w:val="en-US"/>
        </w:rPr>
        <w:t>On May 25 Peter Styles gave an interview to the Financial Times journalist (LEX column)</w:t>
      </w:r>
    </w:p>
    <w:p>
      <w:pPr>
        <w:pStyle w:val="Normal"/>
        <w:autoSpaceDE w:val="false"/>
        <w:spacing w:lineRule="atLeast" w:line="240"/>
        <w:ind w:start="720" w:end="0"/>
        <w:rPr>
          <w:color w:val="000000"/>
          <w:szCs w:val="20"/>
          <w:lang w:val="en-US"/>
        </w:rPr>
      </w:pPr>
      <w:r>
        <w:rPr>
          <w:color w:val="000000"/>
          <w:szCs w:val="20"/>
          <w:lang w:val="en-US"/>
        </w:rPr>
        <w:t xml:space="preserve">(*) The dissolution of GFU and the issue of the Norwegian pipeline TPA </w:t>
      </w:r>
    </w:p>
    <w:p>
      <w:pPr>
        <w:pStyle w:val="Normal"/>
        <w:autoSpaceDE w:val="false"/>
        <w:spacing w:lineRule="atLeast" w:line="240"/>
        <w:ind w:start="720" w:end="0"/>
        <w:rPr>
          <w:color w:val="000000"/>
          <w:szCs w:val="20"/>
          <w:lang w:val="en-US"/>
        </w:rPr>
      </w:pPr>
      <w:r>
        <w:rPr>
          <w:color w:val="000000"/>
          <w:szCs w:val="20"/>
          <w:lang w:val="en-US"/>
        </w:rPr>
        <w:t>(*) CNE decision on our complaint regarding refusal of gas TPA</w:t>
      </w:r>
    </w:p>
    <w:p>
      <w:pPr>
        <w:pStyle w:val="Normal"/>
        <w:rPr>
          <w:color w:val="000000"/>
          <w:szCs w:val="20"/>
          <w:lang w:val="en-US"/>
        </w:rPr>
      </w:pPr>
      <w:r>
        <w:rPr>
          <w:color w:val="000000"/>
          <w:szCs w:val="20"/>
          <w:lang w:val="en-US"/>
        </w:rPr>
      </w:r>
    </w:p>
    <w:p>
      <w:pPr>
        <w:pStyle w:val="Heading4"/>
        <w:ind w:hanging="0" w:start="0"/>
        <w:rPr/>
      </w:pPr>
      <w:r>
        <w:rPr/>
        <w:t>Antoine Duvauchelle</w:t>
      </w:r>
    </w:p>
    <w:p>
      <w:pPr>
        <w:pStyle w:val="Normal"/>
        <w:rPr>
          <w:lang w:val="en-US"/>
        </w:rPr>
      </w:pPr>
      <w:r>
        <w:rPr>
          <w:lang w:val="en-US"/>
        </w:rPr>
      </w:r>
    </w:p>
    <w:p>
      <w:pPr>
        <w:pStyle w:val="Normal"/>
        <w:numPr>
          <w:ilvl w:val="0"/>
          <w:numId w:val="3"/>
        </w:numPr>
        <w:autoSpaceDE w:val="false"/>
        <w:rPr>
          <w:szCs w:val="20"/>
          <w:lang w:val="en-US"/>
        </w:rPr>
      </w:pPr>
      <w:r>
        <w:rPr>
          <w:szCs w:val="20"/>
          <w:lang w:val="en-US"/>
        </w:rPr>
        <w:t>continued country reports, almost finished Poland (pending Director approval) and started Slovenia</w:t>
      </w:r>
    </w:p>
    <w:p>
      <w:pPr>
        <w:pStyle w:val="Normal"/>
        <w:numPr>
          <w:ilvl w:val="0"/>
          <w:numId w:val="3"/>
        </w:numPr>
        <w:autoSpaceDE w:val="false"/>
        <w:rPr>
          <w:szCs w:val="20"/>
          <w:lang w:val="en-US"/>
        </w:rPr>
      </w:pPr>
      <w:r>
        <w:rPr>
          <w:szCs w:val="20"/>
          <w:lang w:val="en-US"/>
        </w:rPr>
        <w:t>worked on CEVCO contract deals with assistant VP, looking at adding another turbine to the existing system.  It is legal but the EdF contract might have to be renegotiated on the basis of a later contract which I now have to work on</w:t>
      </w:r>
    </w:p>
    <w:p>
      <w:pPr>
        <w:pStyle w:val="Normal"/>
        <w:numPr>
          <w:ilvl w:val="0"/>
          <w:numId w:val="3"/>
        </w:numPr>
        <w:autoSpaceDE w:val="false"/>
        <w:rPr>
          <w:szCs w:val="20"/>
          <w:lang w:val="en-US"/>
        </w:rPr>
      </w:pPr>
      <w:r>
        <w:rPr>
          <w:szCs w:val="20"/>
          <w:lang w:val="en-US"/>
        </w:rPr>
        <w:t>various other support roles: worked on a letter to the CREG (Belgium regulator) about making southern border unused capacity available on a daily basis for new entrants (electricity), worked on a a summary of France electricity/gas for the EOL web page</w:t>
      </w:r>
    </w:p>
    <w:p>
      <w:pPr>
        <w:pStyle w:val="Normal"/>
        <w:autoSpaceDE w:val="false"/>
        <w:rPr>
          <w:rFonts w:ascii="Arial" w:hAnsi="Arial" w:cs="Arial"/>
          <w:color w:val="0000FF"/>
          <w:sz w:val="20"/>
          <w:szCs w:val="20"/>
          <w:lang w:val="en-US"/>
        </w:rPr>
      </w:pPr>
      <w:r>
        <w:rPr>
          <w:rFonts w:cs="Arial" w:ascii="Arial" w:hAnsi="Arial"/>
          <w:color w:val="0000FF"/>
          <w:sz w:val="20"/>
          <w:szCs w:val="20"/>
          <w:lang w:val="en-US"/>
        </w:rPr>
      </w:r>
    </w:p>
    <w:p>
      <w:pPr>
        <w:pStyle w:val="Normal"/>
        <w:autoSpaceDE w:val="false"/>
        <w:rPr>
          <w:rFonts w:ascii="Arial" w:hAnsi="Arial" w:cs="Arial"/>
          <w:color w:val="0000FF"/>
          <w:sz w:val="20"/>
          <w:szCs w:val="20"/>
          <w:lang w:val="en-US"/>
        </w:rPr>
      </w:pPr>
      <w:r>
        <w:rPr>
          <w:rFonts w:cs="Arial" w:ascii="Arial" w:hAnsi="Arial"/>
          <w:color w:val="0000FF"/>
          <w:sz w:val="20"/>
          <w:szCs w:val="20"/>
          <w:lang w:val="en-US"/>
        </w:rPr>
      </w:r>
    </w:p>
    <w:p>
      <w:pPr>
        <w:pStyle w:val="BodyText2"/>
        <w:ind w:firstLine="720" w:end="0"/>
        <w:jc w:val="both"/>
        <w:rPr>
          <w:rFonts w:ascii="Arial" w:hAnsi="Arial" w:cs="Arial"/>
          <w:color w:val="0000FF"/>
          <w:sz w:val="20"/>
          <w:szCs w:val="20"/>
          <w:lang w:val="en-US"/>
        </w:rPr>
      </w:pPr>
      <w:r>
        <w:rPr>
          <w:rFonts w:cs="Arial" w:ascii="Arial" w:hAnsi="Arial"/>
          <w:color w:val="0000FF"/>
          <w:sz w:val="20"/>
          <w:szCs w:val="20"/>
          <w:lang w:val="en-US"/>
        </w:rPr>
      </w:r>
    </w:p>
    <w:p>
      <w:pPr>
        <w:pStyle w:val="Normal"/>
        <w:autoSpaceDE w:val="false"/>
        <w:jc w:val="both"/>
        <w:rPr>
          <w:b/>
          <w:bCs/>
          <w:color w:val="000000"/>
          <w:sz w:val="28"/>
          <w:szCs w:val="20"/>
          <w:lang w:val="en-US"/>
        </w:rPr>
      </w:pPr>
      <w:r>
        <w:rPr>
          <w:b/>
          <w:bCs/>
          <w:color w:val="000000"/>
          <w:sz w:val="28"/>
          <w:szCs w:val="20"/>
          <w:lang w:val="en-US"/>
        </w:rPr>
      </w:r>
    </w:p>
    <w:p>
      <w:pPr>
        <w:pStyle w:val="Normal"/>
        <w:autoSpaceDE w:val="false"/>
        <w:jc w:val="both"/>
        <w:rPr>
          <w:b/>
          <w:bCs/>
          <w:color w:val="000000"/>
          <w:sz w:val="28"/>
          <w:szCs w:val="20"/>
          <w:lang w:val="en-US"/>
        </w:rPr>
      </w:pPr>
      <w:r>
        <w:rPr>
          <w:b/>
          <w:bCs/>
          <w:color w:val="000000"/>
          <w:sz w:val="28"/>
          <w:szCs w:val="20"/>
          <w:lang w:val="en-US"/>
        </w:rPr>
        <w:t>Nick Elms</w:t>
      </w:r>
    </w:p>
    <w:p>
      <w:pPr>
        <w:pStyle w:val="Normal"/>
        <w:autoSpaceDE w:val="false"/>
        <w:jc w:val="both"/>
        <w:rPr>
          <w:b/>
          <w:bCs/>
          <w:color w:val="000000"/>
          <w:sz w:val="28"/>
          <w:szCs w:val="20"/>
          <w:lang w:val="en-US"/>
        </w:rPr>
      </w:pPr>
      <w:r>
        <w:rPr>
          <w:b/>
          <w:bCs/>
          <w:color w:val="000000"/>
          <w:sz w:val="28"/>
          <w:szCs w:val="20"/>
          <w:lang w:val="en-US"/>
        </w:rPr>
      </w:r>
    </w:p>
    <w:p>
      <w:pPr>
        <w:pStyle w:val="Normal"/>
        <w:numPr>
          <w:ilvl w:val="0"/>
          <w:numId w:val="7"/>
        </w:numPr>
        <w:autoSpaceDE w:val="false"/>
        <w:rPr>
          <w:szCs w:val="20"/>
          <w:lang w:val="en-US"/>
        </w:rPr>
      </w:pPr>
      <w:r>
        <w:rPr>
          <w:szCs w:val="20"/>
          <w:lang w:val="en-US"/>
        </w:rPr>
        <w:t>NETA Mods</w:t>
      </w:r>
    </w:p>
    <w:p>
      <w:pPr>
        <w:pStyle w:val="Normal"/>
        <w:autoSpaceDE w:val="false"/>
        <w:ind w:start="780" w:end="0"/>
        <w:rPr>
          <w:szCs w:val="20"/>
          <w:lang w:val="en-US"/>
        </w:rPr>
      </w:pPr>
      <w:r>
        <w:rPr>
          <w:szCs w:val="20"/>
          <w:lang w:val="en-US"/>
        </w:rPr>
        <w:t>1) Dual Contract Notification. A further consultation has been called. Enron is                  mildly opposed.</w:t>
      </w:r>
    </w:p>
    <w:p>
      <w:pPr>
        <w:pStyle w:val="Normal"/>
        <w:autoSpaceDE w:val="false"/>
        <w:ind w:start="720" w:end="0"/>
        <w:rPr>
          <w:szCs w:val="20"/>
          <w:lang w:val="en-US"/>
        </w:rPr>
      </w:pPr>
      <w:r>
        <w:rPr>
          <w:szCs w:val="20"/>
          <w:lang w:val="en-US"/>
        </w:rPr>
        <w:t>2) Move Gate Closure from 3.5 hours to 1 hour. Enron is strongly opposed    because of increased imbalance price risk.</w:t>
      </w:r>
    </w:p>
    <w:p>
      <w:pPr>
        <w:pStyle w:val="Normal"/>
        <w:autoSpaceDE w:val="false"/>
        <w:ind w:start="720" w:end="0"/>
        <w:rPr>
          <w:szCs w:val="20"/>
          <w:lang w:val="en-US"/>
        </w:rPr>
      </w:pPr>
      <w:r>
        <w:rPr>
          <w:szCs w:val="20"/>
          <w:lang w:val="en-US"/>
        </w:rPr>
        <w:t>3) Exclude short term BM trades from imbalance prices. Enron supports this because of reduced imbalance price risk.</w:t>
      </w:r>
    </w:p>
    <w:p>
      <w:pPr>
        <w:pStyle w:val="Normal"/>
        <w:autoSpaceDE w:val="false"/>
        <w:rPr>
          <w:szCs w:val="20"/>
          <w:lang w:val="en-US"/>
        </w:rPr>
      </w:pPr>
      <w:r>
        <w:rPr>
          <w:szCs w:val="20"/>
          <w:lang w:val="en-US"/>
        </w:rPr>
      </w:r>
    </w:p>
    <w:p>
      <w:pPr>
        <w:pStyle w:val="Normal"/>
        <w:numPr>
          <w:ilvl w:val="0"/>
          <w:numId w:val="7"/>
        </w:numPr>
        <w:autoSpaceDE w:val="false"/>
        <w:rPr>
          <w:szCs w:val="20"/>
          <w:lang w:val="en-US"/>
        </w:rPr>
      </w:pPr>
      <w:r>
        <w:rPr>
          <w:szCs w:val="20"/>
          <w:lang w:val="en-US"/>
        </w:rPr>
        <w:t>Transmission Access and Losses Under NETA - Ofgem Consultation</w:t>
      </w:r>
    </w:p>
    <w:p>
      <w:pPr>
        <w:pStyle w:val="Normal"/>
        <w:autoSpaceDE w:val="false"/>
        <w:ind w:firstLine="60" w:start="720" w:end="0"/>
        <w:rPr>
          <w:szCs w:val="20"/>
          <w:lang w:val="en-US"/>
        </w:rPr>
      </w:pPr>
      <w:r>
        <w:rPr>
          <w:szCs w:val="20"/>
          <w:lang w:val="en-US"/>
        </w:rPr>
        <w:t>Ofgem appear to favour locational losses plus firm zonal transmission rights          initially allocated by auction, with secondary trading. Internal meeting on Wednesday 30th to discuss Enron's position. Submissions due on July 4.</w:t>
      </w:r>
    </w:p>
    <w:p>
      <w:pPr>
        <w:pStyle w:val="Normal"/>
        <w:autoSpaceDE w:val="false"/>
        <w:rPr>
          <w:szCs w:val="20"/>
          <w:lang w:val="en-US"/>
        </w:rPr>
      </w:pPr>
      <w:r>
        <w:rPr>
          <w:szCs w:val="20"/>
          <w:lang w:val="en-US"/>
        </w:rPr>
      </w:r>
    </w:p>
    <w:p>
      <w:pPr>
        <w:pStyle w:val="Normal"/>
        <w:autoSpaceDE w:val="false"/>
        <w:jc w:val="both"/>
        <w:rPr>
          <w:b/>
          <w:bCs/>
          <w:color w:val="000000"/>
          <w:szCs w:val="20"/>
          <w:lang w:val="en-US"/>
        </w:rPr>
      </w:pPr>
      <w:r>
        <w:rPr>
          <w:b/>
          <w:bCs/>
          <w:color w:val="000000"/>
          <w:szCs w:val="20"/>
          <w:lang w:val="en-US"/>
        </w:rPr>
      </w:r>
    </w:p>
    <w:p>
      <w:pPr>
        <w:pStyle w:val="Normal"/>
        <w:autoSpaceDE w:val="false"/>
        <w:jc w:val="both"/>
        <w:rPr>
          <w:b/>
          <w:bCs/>
          <w:color w:val="000000"/>
          <w:sz w:val="28"/>
          <w:szCs w:val="20"/>
          <w:lang w:val="en-US"/>
        </w:rPr>
      </w:pPr>
      <w:r>
        <w:rPr>
          <w:b/>
          <w:bCs/>
          <w:color w:val="000000"/>
          <w:sz w:val="28"/>
          <w:szCs w:val="20"/>
          <w:lang w:val="en-US"/>
        </w:rPr>
        <w:t>Viviana Florio</w:t>
      </w:r>
    </w:p>
    <w:p>
      <w:pPr>
        <w:pStyle w:val="Normal"/>
        <w:autoSpaceDE w:val="false"/>
        <w:jc w:val="both"/>
        <w:rPr>
          <w:b/>
          <w:bCs/>
          <w:color w:val="000000"/>
          <w:sz w:val="28"/>
          <w:szCs w:val="20"/>
          <w:lang w:val="en-US"/>
        </w:rPr>
      </w:pPr>
      <w:r>
        <w:rPr>
          <w:b/>
          <w:bCs/>
          <w:color w:val="000000"/>
          <w:sz w:val="28"/>
          <w:szCs w:val="20"/>
          <w:lang w:val="en-US"/>
        </w:rPr>
      </w:r>
    </w:p>
    <w:p>
      <w:pPr>
        <w:pStyle w:val="Normal"/>
        <w:autoSpaceDE w:val="false"/>
        <w:jc w:val="both"/>
        <w:rPr>
          <w:color w:val="000000"/>
          <w:szCs w:val="20"/>
          <w:lang w:val="en-US"/>
        </w:rPr>
      </w:pPr>
      <w:r>
        <w:rPr>
          <w:color w:val="000000"/>
          <w:szCs w:val="20"/>
          <w:lang w:val="en-US"/>
        </w:rPr>
        <w:t>On vacation.</w:t>
      </w:r>
    </w:p>
    <w:p>
      <w:pPr>
        <w:pStyle w:val="Normal"/>
        <w:autoSpaceDE w:val="false"/>
        <w:jc w:val="both"/>
        <w:rPr>
          <w:b/>
          <w:bCs/>
          <w:color w:val="000000"/>
          <w:sz w:val="28"/>
          <w:szCs w:val="20"/>
          <w:lang w:val="en-US"/>
        </w:rPr>
      </w:pPr>
      <w:r>
        <w:rPr>
          <w:b/>
          <w:bCs/>
          <w:color w:val="000000"/>
          <w:sz w:val="28"/>
          <w:szCs w:val="20"/>
          <w:lang w:val="en-US"/>
        </w:rPr>
      </w:r>
    </w:p>
    <w:p>
      <w:pPr>
        <w:pStyle w:val="Normal"/>
        <w:autoSpaceDE w:val="false"/>
        <w:jc w:val="both"/>
        <w:rPr>
          <w:b/>
          <w:bCs/>
          <w:color w:val="000000"/>
          <w:sz w:val="28"/>
          <w:szCs w:val="20"/>
          <w:lang w:val="en-US"/>
        </w:rPr>
      </w:pPr>
      <w:r>
        <w:rPr>
          <w:b/>
          <w:bCs/>
          <w:color w:val="000000"/>
          <w:sz w:val="28"/>
          <w:szCs w:val="20"/>
          <w:lang w:val="en-US"/>
        </w:rPr>
        <w:t>Bruno Gaillard</w:t>
      </w:r>
    </w:p>
    <w:p>
      <w:pPr>
        <w:pStyle w:val="Normal"/>
        <w:autoSpaceDE w:val="false"/>
        <w:jc w:val="both"/>
        <w:rPr>
          <w:b/>
          <w:bCs/>
          <w:color w:val="000000"/>
          <w:sz w:val="28"/>
          <w:szCs w:val="20"/>
          <w:lang w:val="en-US"/>
        </w:rPr>
      </w:pPr>
      <w:r>
        <w:rPr>
          <w:b/>
          <w:bCs/>
          <w:color w:val="000000"/>
          <w:sz w:val="28"/>
          <w:szCs w:val="20"/>
          <w:lang w:val="en-US"/>
        </w:rPr>
      </w:r>
    </w:p>
    <w:p>
      <w:pPr>
        <w:pStyle w:val="Normal"/>
        <w:autoSpaceDE w:val="false"/>
        <w:jc w:val="both"/>
        <w:rPr>
          <w:b/>
          <w:bCs/>
          <w:color w:val="000000"/>
          <w:sz w:val="28"/>
          <w:szCs w:val="20"/>
          <w:lang w:val="en-US"/>
        </w:rPr>
      </w:pPr>
      <w:r>
        <w:rPr>
          <w:b/>
          <w:bCs/>
          <w:color w:val="000000"/>
          <w:sz w:val="28"/>
          <w:szCs w:val="20"/>
          <w:lang w:val="en-US"/>
        </w:rPr>
        <w:t>Merle Glen</w:t>
      </w:r>
    </w:p>
    <w:p>
      <w:pPr>
        <w:pStyle w:val="Normal"/>
        <w:autoSpaceDE w:val="false"/>
        <w:jc w:val="both"/>
        <w:rPr>
          <w:b/>
          <w:bCs/>
          <w:color w:val="000000"/>
          <w:sz w:val="28"/>
          <w:szCs w:val="20"/>
          <w:lang w:val="en-US"/>
        </w:rPr>
      </w:pPr>
      <w:r>
        <w:rPr>
          <w:b/>
          <w:bCs/>
          <w:color w:val="000000"/>
          <w:sz w:val="28"/>
          <w:szCs w:val="20"/>
          <w:lang w:val="en-US"/>
        </w:rPr>
      </w:r>
    </w:p>
    <w:p>
      <w:pPr>
        <w:pStyle w:val="Heading1"/>
        <w:ind w:hanging="0" w:start="0"/>
        <w:jc w:val="both"/>
        <w:rPr>
          <w:sz w:val="28"/>
        </w:rPr>
      </w:pPr>
      <w:r>
        <w:rPr>
          <w:sz w:val="28"/>
        </w:rPr>
        <w:t>David Gonzales</w:t>
      </w:r>
    </w:p>
    <w:p>
      <w:pPr>
        <w:pStyle w:val="Normal"/>
        <w:autoSpaceDE w:val="false"/>
        <w:jc w:val="both"/>
        <w:rPr>
          <w:color w:val="000000"/>
          <w:sz w:val="28"/>
          <w:szCs w:val="20"/>
          <w:lang w:val="en-US"/>
        </w:rPr>
      </w:pPr>
      <w:r>
        <w:rPr>
          <w:color w:val="000000"/>
          <w:sz w:val="28"/>
          <w:szCs w:val="20"/>
          <w:lang w:val="en-US"/>
        </w:rPr>
      </w:r>
    </w:p>
    <w:p>
      <w:pPr>
        <w:pStyle w:val="Normal"/>
        <w:numPr>
          <w:ilvl w:val="0"/>
          <w:numId w:val="2"/>
        </w:numPr>
        <w:autoSpaceDE w:val="false"/>
        <w:rPr>
          <w:szCs w:val="20"/>
          <w:lang w:val="en-US"/>
        </w:rPr>
      </w:pPr>
      <w:r>
        <w:rPr>
          <w:szCs w:val="20"/>
          <w:lang w:val="en-US"/>
        </w:rPr>
        <w:t>Enron Directo "final" licence for electricity</w:t>
      </w:r>
    </w:p>
    <w:p>
      <w:pPr>
        <w:pStyle w:val="Normal"/>
        <w:numPr>
          <w:ilvl w:val="0"/>
          <w:numId w:val="2"/>
        </w:numPr>
        <w:autoSpaceDE w:val="false"/>
        <w:rPr>
          <w:szCs w:val="20"/>
          <w:lang w:val="en-US"/>
        </w:rPr>
      </w:pPr>
      <w:r>
        <w:rPr>
          <w:szCs w:val="20"/>
          <w:lang w:val="en-US"/>
        </w:rPr>
        <w:t xml:space="preserve">Arcos </w:t>
      </w:r>
    </w:p>
    <w:p>
      <w:pPr>
        <w:pStyle w:val="Normal"/>
        <w:numPr>
          <w:ilvl w:val="0"/>
          <w:numId w:val="2"/>
        </w:numPr>
        <w:autoSpaceDE w:val="false"/>
        <w:rPr>
          <w:szCs w:val="20"/>
          <w:lang w:val="en-US"/>
        </w:rPr>
      </w:pPr>
      <w:r>
        <w:rPr>
          <w:szCs w:val="20"/>
          <w:lang w:val="en-US"/>
        </w:rPr>
        <w:t xml:space="preserve">New authorisations for export/import in Spain </w:t>
      </w:r>
    </w:p>
    <w:p>
      <w:pPr>
        <w:pStyle w:val="BodyText"/>
        <w:jc w:val="both"/>
        <w:rPr>
          <w:rFonts w:ascii="Times New Roman" w:hAnsi="Times New Roman" w:cs="Times New Roman"/>
          <w:b/>
          <w:bCs/>
          <w:sz w:val="28"/>
          <w:szCs w:val="20"/>
          <w:lang w:val="en-US"/>
        </w:rPr>
      </w:pPr>
      <w:r>
        <w:rPr>
          <w:rFonts w:cs="Times New Roman" w:ascii="Times New Roman" w:hAnsi="Times New Roman"/>
          <w:b/>
          <w:bCs/>
          <w:sz w:val="28"/>
          <w:szCs w:val="20"/>
          <w:lang w:val="en-US"/>
        </w:rPr>
      </w:r>
    </w:p>
    <w:p>
      <w:pPr>
        <w:pStyle w:val="BodyText"/>
        <w:jc w:val="both"/>
        <w:rPr>
          <w:rFonts w:ascii="Times New Roman" w:hAnsi="Times New Roman" w:cs="Times New Roman"/>
          <w:b/>
          <w:bCs/>
          <w:sz w:val="28"/>
        </w:rPr>
      </w:pPr>
      <w:r>
        <w:rPr>
          <w:rFonts w:cs="Times New Roman" w:ascii="Times New Roman" w:hAnsi="Times New Roman"/>
          <w:b/>
          <w:bCs/>
          <w:sz w:val="28"/>
        </w:rPr>
        <w:t>Jan Haizmann</w:t>
      </w:r>
    </w:p>
    <w:p>
      <w:pPr>
        <w:pStyle w:val="Normal"/>
        <w:numPr>
          <w:ilvl w:val="0"/>
          <w:numId w:val="8"/>
        </w:numPr>
        <w:autoSpaceDE w:val="false"/>
        <w:ind w:hanging="380" w:start="380" w:end="0"/>
        <w:rPr>
          <w:szCs w:val="20"/>
          <w:lang w:val="en-US"/>
        </w:rPr>
      </w:pPr>
      <w:r>
        <w:rPr>
          <w:szCs w:val="20"/>
          <w:lang w:val="en-US"/>
        </w:rPr>
        <w:t>participated on ECTA quarterly meeting on current regulatory issues in Brussels;</w:t>
      </w:r>
    </w:p>
    <w:p>
      <w:pPr>
        <w:pStyle w:val="Normal"/>
        <w:numPr>
          <w:ilvl w:val="0"/>
          <w:numId w:val="8"/>
        </w:numPr>
        <w:autoSpaceDE w:val="false"/>
        <w:ind w:hanging="380" w:start="380" w:end="0"/>
        <w:rPr>
          <w:szCs w:val="20"/>
          <w:lang w:val="en-US"/>
        </w:rPr>
      </w:pPr>
      <w:r>
        <w:rPr>
          <w:szCs w:val="20"/>
          <w:lang w:val="en-US"/>
        </w:rPr>
        <w:t>support for Singapore EBS Unit in the context of the tax status we are currently applying for;</w:t>
      </w:r>
    </w:p>
    <w:p>
      <w:pPr>
        <w:pStyle w:val="Normal"/>
        <w:numPr>
          <w:ilvl w:val="0"/>
          <w:numId w:val="8"/>
        </w:numPr>
        <w:autoSpaceDE w:val="false"/>
        <w:ind w:hanging="380" w:start="380" w:end="0"/>
        <w:rPr>
          <w:szCs w:val="20"/>
          <w:lang w:val="en-US"/>
        </w:rPr>
      </w:pPr>
      <w:r>
        <w:rPr>
          <w:szCs w:val="20"/>
          <w:lang w:val="en-US"/>
        </w:rPr>
        <w:t>regulatory due diligence for a potential target company;</w:t>
      </w:r>
    </w:p>
    <w:p>
      <w:pPr>
        <w:pStyle w:val="BodyText"/>
        <w:jc w:val="both"/>
        <w:rPr>
          <w:rFonts w:ascii="Times New Roman" w:hAnsi="Times New Roman" w:cs="Times New Roman"/>
          <w:b/>
          <w:bCs/>
          <w:color w:val="000000"/>
          <w:sz w:val="24"/>
          <w:szCs w:val="20"/>
          <w:lang w:val="en-US"/>
        </w:rPr>
      </w:pPr>
      <w:r>
        <w:rPr>
          <w:rFonts w:cs="Times New Roman" w:ascii="Times New Roman" w:hAnsi="Times New Roman"/>
          <w:b/>
          <w:bCs/>
          <w:color w:val="000000"/>
          <w:sz w:val="24"/>
          <w:szCs w:val="20"/>
          <w:lang w:val="en-US"/>
        </w:rPr>
      </w:r>
    </w:p>
    <w:p>
      <w:pPr>
        <w:pStyle w:val="BodyText"/>
        <w:jc w:val="both"/>
        <w:rPr>
          <w:rFonts w:ascii="Times New Roman" w:hAnsi="Times New Roman" w:cs="Times New Roman"/>
          <w:b/>
          <w:bCs/>
          <w:sz w:val="28"/>
        </w:rPr>
      </w:pPr>
      <w:r>
        <w:rPr>
          <w:rFonts w:cs="Times New Roman" w:ascii="Times New Roman" w:hAnsi="Times New Roman"/>
          <w:b/>
          <w:bCs/>
          <w:sz w:val="28"/>
        </w:rPr>
        <w:t>Paul Hennemeyer</w:t>
      </w:r>
    </w:p>
    <w:p>
      <w:pPr>
        <w:pStyle w:val="BodyText"/>
        <w:jc w:val="both"/>
        <w:rPr>
          <w:rFonts w:ascii="Times New Roman" w:hAnsi="Times New Roman" w:cs="Times New Roman"/>
          <w:b/>
          <w:bCs/>
          <w:sz w:val="28"/>
        </w:rPr>
      </w:pPr>
      <w:r>
        <w:rPr>
          <w:rFonts w:cs="Times New Roman" w:ascii="Times New Roman" w:hAnsi="Times New Roman"/>
          <w:b/>
          <w:bCs/>
          <w:sz w:val="28"/>
        </w:rPr>
      </w:r>
    </w:p>
    <w:p>
      <w:pPr>
        <w:pStyle w:val="BodyText"/>
        <w:jc w:val="both"/>
        <w:rPr>
          <w:rFonts w:ascii="Times New Roman" w:hAnsi="Times New Roman" w:cs="Times New Roman"/>
          <w:sz w:val="24"/>
        </w:rPr>
      </w:pPr>
      <w:r>
        <w:rPr>
          <w:rFonts w:cs="Times New Roman" w:ascii="Times New Roman" w:hAnsi="Times New Roman"/>
          <w:sz w:val="24"/>
        </w:rPr>
        <w:t>Nothing to report.</w:t>
      </w:r>
    </w:p>
    <w:p>
      <w:pPr>
        <w:pStyle w:val="BodyText"/>
        <w:jc w:val="both"/>
        <w:rPr>
          <w:rFonts w:ascii="Times New Roman" w:hAnsi="Times New Roman" w:cs="Times New Roman"/>
          <w:b/>
          <w:bCs/>
          <w:sz w:val="28"/>
        </w:rPr>
      </w:pPr>
      <w:r>
        <w:rPr>
          <w:rFonts w:cs="Times New Roman" w:ascii="Times New Roman" w:hAnsi="Times New Roman"/>
          <w:b/>
          <w:bCs/>
          <w:sz w:val="28"/>
        </w:rPr>
      </w:r>
    </w:p>
    <w:p>
      <w:pPr>
        <w:pStyle w:val="BodyText"/>
        <w:jc w:val="both"/>
        <w:rPr>
          <w:rFonts w:ascii="Times New Roman" w:hAnsi="Times New Roman" w:cs="Times New Roman"/>
          <w:b/>
          <w:bCs/>
          <w:sz w:val="28"/>
        </w:rPr>
      </w:pPr>
      <w:r>
        <w:rPr>
          <w:rFonts w:cs="Times New Roman" w:ascii="Times New Roman" w:hAnsi="Times New Roman"/>
          <w:b/>
          <w:bCs/>
          <w:sz w:val="28"/>
        </w:rPr>
        <w:t>Alfredo Huertas</w:t>
      </w:r>
    </w:p>
    <w:p>
      <w:pPr>
        <w:pStyle w:val="Normal"/>
        <w:autoSpaceDE w:val="false"/>
        <w:jc w:val="both"/>
        <w:rPr>
          <w:color w:val="000000"/>
          <w:sz w:val="22"/>
          <w:szCs w:val="22"/>
          <w:lang w:val="en-US"/>
        </w:rPr>
      </w:pPr>
      <w:r>
        <w:rPr>
          <w:color w:val="000000"/>
          <w:sz w:val="22"/>
          <w:szCs w:val="22"/>
          <w:lang w:val="en-US"/>
        </w:rPr>
        <w:t>Spain</w:t>
      </w:r>
    </w:p>
    <w:p>
      <w:pPr>
        <w:pStyle w:val="Normal"/>
        <w:tabs>
          <w:tab w:val="left" w:pos="720" w:leader="none"/>
        </w:tabs>
        <w:autoSpaceDE w:val="false"/>
        <w:ind w:hanging="360" w:start="720" w:end="0"/>
        <w:jc w:val="both"/>
        <w:rPr/>
      </w:pPr>
      <w:r>
        <w:rPr>
          <w:rFonts w:cs="Symbol" w:ascii="Symbol" w:hAnsi="Symbol"/>
          <w:lang w:val="en-US"/>
        </w:rPr>
        <w:sym w:font="Symbol" w:char="f0b7"/>
      </w:r>
      <w:r>
        <w:rPr>
          <w:rFonts w:cs="Symbol" w:ascii="Symbol" w:hAnsi="Symbol"/>
          <w:lang w:val="en-US"/>
        </w:rPr>
        <w:tab/>
      </w:r>
      <w:r>
        <w:rPr>
          <w:lang w:val="en-US"/>
        </w:rPr>
        <w:t>Arcos TPA. CNE's resolution has been officially released. Lack of capacity on the date initially requested by Enron (October 2002) has been confirmed by the CNE. However, the CNE has ruled that the alternative date of April 2004 proposed by Enagas as feasible will not be contingent to Enagas obtaining the necessary permits for the construction of these infrastructures. The CNE has asked Enron to confirm in 15 days to Enagas if April 2004 is acceptable, and then Enron and Enagas must sign a TPA contract before 26 July. In case Enron or Enagas do not accept this ruling, they may submit a re-course to the Ministry of Economy.</w:t>
      </w:r>
    </w:p>
    <w:p>
      <w:pPr>
        <w:pStyle w:val="Normal"/>
        <w:autoSpaceDE w:val="false"/>
        <w:jc w:val="both"/>
        <w:rPr>
          <w:lang w:val="en-US"/>
        </w:rPr>
      </w:pPr>
      <w:r>
        <w:rPr>
          <w:lang w:val="en-US"/>
        </w:rPr>
      </w:r>
    </w:p>
    <w:p>
      <w:pPr>
        <w:pStyle w:val="Normal"/>
        <w:autoSpaceDE w:val="false"/>
        <w:jc w:val="both"/>
        <w:rPr>
          <w:lang w:val="en-US"/>
        </w:rPr>
      </w:pPr>
      <w:r>
        <w:rPr>
          <w:lang w:val="en-US"/>
        </w:rPr>
        <w:t>Italy</w:t>
      </w:r>
    </w:p>
    <w:p>
      <w:pPr>
        <w:pStyle w:val="Normal"/>
        <w:tabs>
          <w:tab w:val="left" w:pos="720" w:leader="none"/>
        </w:tabs>
        <w:autoSpaceDE w:val="false"/>
        <w:ind w:hanging="360" w:start="720" w:end="0"/>
        <w:jc w:val="both"/>
        <w:rPr>
          <w:b/>
          <w:bCs/>
          <w:color w:val="000000"/>
          <w:szCs w:val="28"/>
          <w:lang w:val="en-US"/>
        </w:rPr>
      </w:pPr>
      <w:r>
        <w:rPr>
          <w:rFonts w:cs="Symbol" w:ascii="Symbol" w:hAnsi="Symbol"/>
          <w:color w:val="000000"/>
          <w:sz w:val="22"/>
          <w:szCs w:val="22"/>
          <w:lang w:val="en-US"/>
        </w:rPr>
        <w:sym w:font="Symbol" w:char="f0b7"/>
      </w:r>
      <w:r>
        <w:rPr>
          <w:rFonts w:cs="Symbol" w:ascii="Symbol" w:hAnsi="Symbol"/>
          <w:color w:val="000000"/>
          <w:sz w:val="22"/>
          <w:szCs w:val="22"/>
          <w:lang w:val="en-US"/>
        </w:rPr>
        <w:tab/>
      </w:r>
      <w:r>
        <w:rPr>
          <w:color w:val="000000"/>
          <w:szCs w:val="22"/>
          <w:lang w:val="en-US"/>
        </w:rPr>
        <w:t xml:space="preserve">Aiget, on behalf of traders and wholesalers, is preparing a proposal re. the information that should available to agents participating in the pool. At present, the Italian pool does not envisage much degree of transparency and publicity of pool results, and this is a matter of great concern to traders. </w:t>
      </w:r>
    </w:p>
    <w:p>
      <w:pPr>
        <w:pStyle w:val="Normal"/>
        <w:autoSpaceDE w:val="false"/>
        <w:rPr>
          <w:rFonts w:ascii="Arial" w:hAnsi="Arial" w:cs="Arial"/>
          <w:b/>
          <w:bCs/>
          <w:color w:val="0000FF"/>
          <w:sz w:val="20"/>
          <w:szCs w:val="20"/>
          <w:lang w:val="en-US"/>
        </w:rPr>
      </w:pPr>
      <w:r>
        <w:rPr>
          <w:rFonts w:cs="Arial" w:ascii="Arial" w:hAnsi="Arial"/>
          <w:b/>
          <w:bCs/>
          <w:color w:val="0000FF"/>
          <w:sz w:val="20"/>
          <w:szCs w:val="20"/>
          <w:lang w:val="en-US"/>
        </w:rPr>
      </w:r>
    </w:p>
    <w:p>
      <w:pPr>
        <w:pStyle w:val="Normal"/>
        <w:autoSpaceDE w:val="false"/>
        <w:rPr>
          <w:rFonts w:ascii="Arial" w:hAnsi="Arial" w:cs="Arial"/>
          <w:color w:val="0000FF"/>
          <w:sz w:val="20"/>
          <w:szCs w:val="20"/>
          <w:lang w:val="en-US"/>
        </w:rPr>
      </w:pPr>
      <w:r>
        <w:rPr>
          <w:rFonts w:cs="Arial" w:ascii="Arial" w:hAnsi="Arial"/>
          <w:color w:val="0000FF"/>
          <w:sz w:val="20"/>
          <w:szCs w:val="20"/>
          <w:lang w:val="en-US"/>
        </w:rPr>
      </w:r>
    </w:p>
    <w:p>
      <w:pPr>
        <w:pStyle w:val="BodyText"/>
        <w:jc w:val="both"/>
        <w:rPr>
          <w:rFonts w:ascii="Times New Roman" w:hAnsi="Times New Roman" w:cs="Times New Roman"/>
          <w:b/>
          <w:bCs/>
          <w:color w:val="0000FF"/>
          <w:sz w:val="28"/>
          <w:szCs w:val="20"/>
          <w:lang w:val="en-US"/>
        </w:rPr>
      </w:pPr>
      <w:r>
        <w:rPr>
          <w:rFonts w:cs="Times New Roman" w:ascii="Times New Roman" w:hAnsi="Times New Roman"/>
          <w:b/>
          <w:bCs/>
          <w:color w:val="0000FF"/>
          <w:sz w:val="28"/>
          <w:szCs w:val="20"/>
          <w:lang w:val="en-US"/>
        </w:rPr>
      </w:r>
    </w:p>
    <w:p>
      <w:pPr>
        <w:pStyle w:val="BodyText"/>
        <w:jc w:val="both"/>
        <w:rPr>
          <w:rFonts w:ascii="Times New Roman" w:hAnsi="Times New Roman" w:cs="Times New Roman"/>
          <w:b/>
          <w:bCs/>
          <w:sz w:val="28"/>
        </w:rPr>
      </w:pPr>
      <w:r>
        <w:rPr>
          <w:rFonts w:cs="Times New Roman" w:ascii="Times New Roman" w:hAnsi="Times New Roman"/>
          <w:b/>
          <w:bCs/>
          <w:sz w:val="28"/>
        </w:rPr>
        <w:t>Mustafa Hussain</w:t>
      </w:r>
    </w:p>
    <w:p>
      <w:pPr>
        <w:pStyle w:val="BodyText"/>
        <w:jc w:val="both"/>
        <w:rPr>
          <w:rFonts w:ascii="Times New Roman" w:hAnsi="Times New Roman" w:cs="Times New Roman"/>
          <w:b/>
          <w:bCs/>
          <w:sz w:val="28"/>
        </w:rPr>
      </w:pPr>
      <w:r>
        <w:rPr>
          <w:rFonts w:cs="Times New Roman" w:ascii="Times New Roman" w:hAnsi="Times New Roman"/>
          <w:b/>
          <w:bCs/>
          <w:sz w:val="28"/>
        </w:rPr>
      </w:r>
    </w:p>
    <w:p>
      <w:pPr>
        <w:pStyle w:val="BodyText"/>
        <w:jc w:val="both"/>
        <w:rPr>
          <w:rFonts w:ascii="Times New Roman" w:hAnsi="Times New Roman" w:cs="Times New Roman"/>
          <w:b/>
          <w:bCs/>
          <w:sz w:val="28"/>
        </w:rPr>
      </w:pPr>
      <w:r>
        <w:rPr>
          <w:rFonts w:cs="Times New Roman" w:ascii="Times New Roman" w:hAnsi="Times New Roman"/>
          <w:b/>
          <w:bCs/>
          <w:sz w:val="28"/>
        </w:rPr>
        <w:t>Kerryann Irwin</w:t>
      </w:r>
    </w:p>
    <w:p>
      <w:pPr>
        <w:pStyle w:val="BodyText"/>
        <w:jc w:val="both"/>
        <w:rPr>
          <w:rFonts w:ascii="Times New Roman" w:hAnsi="Times New Roman" w:cs="Times New Roman"/>
          <w:b/>
          <w:bCs/>
          <w:sz w:val="28"/>
        </w:rPr>
      </w:pPr>
      <w:r>
        <w:rPr>
          <w:rFonts w:cs="Times New Roman" w:ascii="Times New Roman" w:hAnsi="Times New Roman"/>
          <w:b/>
          <w:bCs/>
          <w:sz w:val="28"/>
        </w:rPr>
      </w:r>
    </w:p>
    <w:p>
      <w:pPr>
        <w:pStyle w:val="BodyText"/>
        <w:jc w:val="both"/>
        <w:rPr>
          <w:rFonts w:ascii="Times New Roman" w:hAnsi="Times New Roman" w:cs="Times New Roman"/>
          <w:b/>
          <w:bCs/>
          <w:sz w:val="28"/>
        </w:rPr>
      </w:pPr>
      <w:r>
        <w:rPr>
          <w:rFonts w:cs="Times New Roman" w:ascii="Times New Roman" w:hAnsi="Times New Roman"/>
          <w:b/>
          <w:bCs/>
          <w:sz w:val="28"/>
        </w:rPr>
        <w:t>Amber Keenan</w:t>
      </w:r>
    </w:p>
    <w:p>
      <w:pPr>
        <w:pStyle w:val="Normal"/>
        <w:numPr>
          <w:ilvl w:val="0"/>
          <w:numId w:val="8"/>
        </w:numPr>
        <w:autoSpaceDE w:val="false"/>
        <w:ind w:hanging="380" w:start="380" w:end="0"/>
        <w:rPr>
          <w:color w:val="000000"/>
          <w:lang w:val="en-US"/>
        </w:rPr>
      </w:pPr>
      <w:r>
        <w:rPr>
          <w:rFonts w:cs="Arial" w:ascii="Arial" w:hAnsi="Arial"/>
          <w:sz w:val="20"/>
          <w:szCs w:val="20"/>
          <w:lang w:val="en-US"/>
        </w:rPr>
        <w:tab/>
      </w:r>
      <w:r>
        <w:rPr/>
        <w:t xml:space="preserve">desk moves </w:t>
      </w:r>
      <w:r>
        <w:rPr>
          <w:rFonts w:cs="Wingdings" w:ascii="Wingdings" w:hAnsi="Wingdings"/>
        </w:rPr>
        <w:sym w:font="Wingdings" w:char="f0e0"/>
      </w:r>
      <w:r>
        <w:rPr/>
        <w:t xml:space="preserve"> date still TBC but probably weekend of 9 &amp; 10 June.  Jan &amp; Xi-Xi are moving up to EBS overnight on Wednesday 30 May.</w:t>
      </w:r>
    </w:p>
    <w:p>
      <w:pPr>
        <w:pStyle w:val="Normal"/>
        <w:autoSpaceDE w:val="false"/>
        <w:rPr>
          <w:color w:val="000000"/>
          <w:lang w:val="en-US"/>
        </w:rPr>
      </w:pPr>
      <w:r>
        <w:rPr>
          <w:color w:val="000000"/>
          <w:lang w:val="en-US"/>
        </w:rPr>
      </w:r>
    </w:p>
    <w:p>
      <w:pPr>
        <w:pStyle w:val="Normal"/>
        <w:numPr>
          <w:ilvl w:val="0"/>
          <w:numId w:val="8"/>
        </w:numPr>
        <w:autoSpaceDE w:val="false"/>
        <w:ind w:hanging="380" w:start="380" w:end="0"/>
        <w:rPr>
          <w:color w:val="000000"/>
          <w:lang w:val="en-US"/>
        </w:rPr>
      </w:pPr>
      <w:r>
        <w:rPr>
          <w:color w:val="000000"/>
          <w:lang w:val="en-US"/>
        </w:rPr>
        <w:tab/>
        <w:t xml:space="preserve">information management </w:t>
      </w:r>
      <w:r>
        <w:rPr>
          <w:rFonts w:cs="Wingdings" w:ascii="Wingdings" w:hAnsi="Wingdings"/>
          <w:color w:val="000000"/>
          <w:lang w:val="en-US"/>
        </w:rPr>
        <w:sym w:font="Wingdings" w:char="f0e0"/>
      </w:r>
      <w:r>
        <w:rPr>
          <w:color w:val="000000"/>
          <w:lang w:val="en-US"/>
        </w:rPr>
        <w:t xml:space="preserve"> please continue to throw out &amp; archive in preparation for our desk moves.</w:t>
      </w:r>
    </w:p>
    <w:p>
      <w:pPr>
        <w:pStyle w:val="Normal"/>
        <w:autoSpaceDE w:val="false"/>
        <w:rPr>
          <w:color w:val="000000"/>
          <w:lang w:val="en-US"/>
        </w:rPr>
      </w:pPr>
      <w:r>
        <w:rPr>
          <w:color w:val="000000"/>
          <w:lang w:val="en-US"/>
        </w:rPr>
      </w:r>
    </w:p>
    <w:p>
      <w:pPr>
        <w:pStyle w:val="Normal"/>
        <w:numPr>
          <w:ilvl w:val="0"/>
          <w:numId w:val="8"/>
        </w:numPr>
        <w:autoSpaceDE w:val="false"/>
        <w:ind w:hanging="380" w:start="380" w:end="0"/>
        <w:rPr>
          <w:color w:val="000000"/>
          <w:lang w:val="en-US"/>
        </w:rPr>
      </w:pPr>
      <w:r>
        <w:rPr>
          <w:color w:val="000000"/>
          <w:lang w:val="en-US"/>
        </w:rPr>
        <w:tab/>
        <w:t xml:space="preserve">off-site </w:t>
      </w:r>
      <w:r>
        <w:rPr>
          <w:rFonts w:cs="Wingdings" w:ascii="Wingdings" w:hAnsi="Wingdings"/>
          <w:color w:val="000000"/>
          <w:lang w:val="en-US"/>
        </w:rPr>
        <w:sym w:font="Wingdings" w:char="f0e0"/>
      </w:r>
      <w:r>
        <w:rPr>
          <w:color w:val="000000"/>
          <w:lang w:val="en-US"/>
        </w:rPr>
        <w:t xml:space="preserve"> pm Thursday 12 July to pm Saturday 14 July (with an option to stay on at your own cost until pm Sunday 15 July)</w:t>
      </w:r>
    </w:p>
    <w:p>
      <w:pPr>
        <w:pStyle w:val="Normal"/>
        <w:autoSpaceDE w:val="false"/>
        <w:ind w:start="1440" w:end="0"/>
        <w:jc w:val="both"/>
        <w:rPr/>
      </w:pPr>
      <w:r>
        <w:rPr>
          <w:rFonts w:cs="Wingdings" w:ascii="Wingdings" w:hAnsi="Wingdings"/>
          <w:color w:val="000000"/>
          <w:lang w:val="en-US"/>
        </w:rPr>
        <w:sym w:font="Wingdings" w:char="f0e0"/>
      </w:r>
      <w:r>
        <w:rPr>
          <w:color w:val="000000"/>
          <w:lang w:val="en-US"/>
        </w:rPr>
        <w:t xml:space="preserve"> </w:t>
      </w:r>
      <w:r>
        <w:rPr>
          <w:color w:val="000000"/>
          <w:lang w:val="en-US"/>
        </w:rPr>
        <w:t>venue &amp; additional details TBC but probably Sardinia if there is a reasonable choice of flights (at the right times, from various cities eg. Brussels &amp; Amsterdam)</w:t>
      </w:r>
    </w:p>
    <w:p>
      <w:pPr>
        <w:pStyle w:val="Normal"/>
        <w:autoSpaceDE w:val="false"/>
        <w:rPr>
          <w:rFonts w:ascii="Arial" w:hAnsi="Arial" w:cs="Arial"/>
          <w:color w:val="000000"/>
          <w:sz w:val="20"/>
          <w:szCs w:val="20"/>
          <w:lang w:val="en-US"/>
        </w:rPr>
      </w:pPr>
      <w:r>
        <w:rPr>
          <w:rFonts w:cs="Arial" w:ascii="Arial" w:hAnsi="Arial"/>
          <w:color w:val="000000"/>
          <w:sz w:val="20"/>
          <w:szCs w:val="20"/>
          <w:lang w:val="en-US"/>
        </w:rPr>
      </w:r>
    </w:p>
    <w:p>
      <w:pPr>
        <w:pStyle w:val="BodyText"/>
        <w:jc w:val="both"/>
        <w:rPr>
          <w:rFonts w:ascii="Times New Roman" w:hAnsi="Times New Roman" w:cs="Times New Roman"/>
          <w:b/>
          <w:bCs/>
          <w:sz w:val="24"/>
          <w:szCs w:val="20"/>
          <w:lang w:val="en-US"/>
        </w:rPr>
      </w:pPr>
      <w:r>
        <w:rPr>
          <w:rFonts w:cs="Times New Roman" w:ascii="Times New Roman" w:hAnsi="Times New Roman"/>
          <w:b/>
          <w:bCs/>
          <w:sz w:val="24"/>
          <w:szCs w:val="20"/>
          <w:lang w:val="en-US"/>
        </w:rPr>
      </w:r>
    </w:p>
    <w:p>
      <w:pPr>
        <w:pStyle w:val="BodyText"/>
        <w:ind w:start="360" w:end="0"/>
        <w:jc w:val="both"/>
        <w:rPr>
          <w:rFonts w:ascii="Times New Roman" w:hAnsi="Times New Roman" w:cs="Times New Roman"/>
          <w:b/>
          <w:bCs/>
          <w:sz w:val="24"/>
        </w:rPr>
      </w:pPr>
      <w:r>
        <w:rPr>
          <w:rFonts w:cs="Times New Roman" w:ascii="Times New Roman" w:hAnsi="Times New Roman"/>
          <w:b/>
          <w:bCs/>
          <w:sz w:val="24"/>
        </w:rPr>
      </w:r>
    </w:p>
    <w:p>
      <w:pPr>
        <w:pStyle w:val="BodyText"/>
        <w:jc w:val="both"/>
        <w:rPr>
          <w:rFonts w:ascii="Times New Roman" w:hAnsi="Times New Roman" w:cs="Times New Roman"/>
          <w:b/>
          <w:bCs/>
          <w:sz w:val="28"/>
        </w:rPr>
      </w:pPr>
      <w:r>
        <w:rPr>
          <w:rFonts w:cs="Times New Roman" w:ascii="Times New Roman" w:hAnsi="Times New Roman"/>
          <w:b/>
          <w:bCs/>
          <w:sz w:val="28"/>
        </w:rPr>
        <w:t>Peter Styles</w:t>
      </w:r>
    </w:p>
    <w:p>
      <w:pPr>
        <w:pStyle w:val="BodyText"/>
        <w:jc w:val="both"/>
        <w:rPr>
          <w:rFonts w:ascii="Times New Roman" w:hAnsi="Times New Roman" w:cs="Times New Roman"/>
          <w:b/>
          <w:bCs/>
          <w:sz w:val="24"/>
        </w:rPr>
      </w:pPr>
      <w:r>
        <w:rPr>
          <w:rFonts w:cs="Times New Roman" w:ascii="Times New Roman" w:hAnsi="Times New Roman"/>
          <w:b/>
          <w:bCs/>
          <w:sz w:val="24"/>
        </w:rPr>
      </w:r>
    </w:p>
    <w:p>
      <w:pPr>
        <w:pStyle w:val="BodyText"/>
        <w:jc w:val="both"/>
        <w:rPr>
          <w:rFonts w:ascii="Times New Roman" w:hAnsi="Times New Roman" w:cs="Times New Roman"/>
          <w:b/>
          <w:bCs/>
          <w:sz w:val="28"/>
        </w:rPr>
      </w:pPr>
      <w:r>
        <w:rPr>
          <w:rFonts w:cs="Times New Roman" w:ascii="Times New Roman" w:hAnsi="Times New Roman"/>
          <w:b/>
          <w:bCs/>
          <w:sz w:val="28"/>
        </w:rPr>
        <w:t>Teun van Biert</w:t>
      </w:r>
    </w:p>
    <w:p>
      <w:pPr>
        <w:pStyle w:val="BodyText"/>
        <w:numPr>
          <w:ilvl w:val="0"/>
          <w:numId w:val="5"/>
        </w:numPr>
        <w:jc w:val="both"/>
        <w:rPr>
          <w:rFonts w:ascii="Times New Roman" w:hAnsi="Times New Roman" w:cs="Times New Roman"/>
          <w:b/>
          <w:bCs/>
          <w:color w:val="000000"/>
          <w:sz w:val="24"/>
        </w:rPr>
      </w:pPr>
      <w:r>
        <w:rPr>
          <w:rFonts w:cs="Times New Roman" w:ascii="Times New Roman" w:hAnsi="Times New Roman"/>
          <w:color w:val="000000"/>
          <w:sz w:val="24"/>
        </w:rPr>
        <w:t>Market Surveillance Committee (UK experiences, status)</w:t>
      </w:r>
    </w:p>
    <w:p>
      <w:pPr>
        <w:pStyle w:val="BodyText"/>
        <w:numPr>
          <w:ilvl w:val="0"/>
          <w:numId w:val="5"/>
        </w:numPr>
        <w:jc w:val="both"/>
        <w:rPr>
          <w:rFonts w:ascii="Times New Roman" w:hAnsi="Times New Roman" w:cs="Times New Roman"/>
          <w:b/>
          <w:bCs/>
          <w:color w:val="000000"/>
          <w:sz w:val="24"/>
        </w:rPr>
      </w:pPr>
      <w:r>
        <w:rPr>
          <w:rFonts w:cs="Times New Roman" w:ascii="Times New Roman" w:hAnsi="Times New Roman"/>
          <w:color w:val="000000"/>
          <w:sz w:val="24"/>
        </w:rPr>
        <w:t>European position netting</w:t>
        <w:tab/>
        <w:t xml:space="preserve">  </w:t>
        <w:br/>
      </w:r>
    </w:p>
    <w:p>
      <w:pPr>
        <w:pStyle w:val="BodyText"/>
        <w:jc w:val="both"/>
        <w:rPr>
          <w:rFonts w:ascii="Times New Roman" w:hAnsi="Times New Roman" w:cs="Times New Roman"/>
          <w:b/>
          <w:bCs/>
          <w:sz w:val="28"/>
        </w:rPr>
      </w:pPr>
      <w:r>
        <w:rPr>
          <w:rFonts w:cs="Times New Roman" w:ascii="Times New Roman" w:hAnsi="Times New Roman"/>
          <w:b/>
          <w:bCs/>
          <w:sz w:val="28"/>
        </w:rPr>
        <w:t>Doug Wood</w:t>
      </w:r>
    </w:p>
    <w:p>
      <w:pPr>
        <w:pStyle w:val="Normal"/>
        <w:numPr>
          <w:ilvl w:val="0"/>
          <w:numId w:val="6"/>
        </w:numPr>
        <w:autoSpaceDE w:val="false"/>
        <w:rPr>
          <w:szCs w:val="20"/>
          <w:lang w:val="en-US"/>
        </w:rPr>
      </w:pPr>
      <w:r>
        <w:rPr>
          <w:szCs w:val="20"/>
          <w:lang w:val="en-US"/>
        </w:rPr>
        <w:t>Poland</w:t>
      </w:r>
    </w:p>
    <w:p>
      <w:pPr>
        <w:pStyle w:val="Normal"/>
        <w:autoSpaceDE w:val="false"/>
        <w:ind w:firstLine="720" w:end="0"/>
        <w:rPr>
          <w:szCs w:val="20"/>
          <w:lang w:val="en-US"/>
        </w:rPr>
      </w:pPr>
      <w:r>
        <w:rPr>
          <w:szCs w:val="20"/>
          <w:lang w:val="en-US"/>
        </w:rPr>
        <w:t>Prepared list of briefing points for DoC, for Bush visit to Warsaw</w:t>
      </w:r>
    </w:p>
    <w:p>
      <w:pPr>
        <w:pStyle w:val="Normal"/>
        <w:autoSpaceDE w:val="false"/>
        <w:ind w:start="720" w:end="0"/>
        <w:rPr>
          <w:szCs w:val="20"/>
          <w:lang w:val="en-US"/>
        </w:rPr>
      </w:pPr>
      <w:r>
        <w:rPr>
          <w:szCs w:val="20"/>
          <w:lang w:val="en-US"/>
        </w:rPr>
        <w:t>Wrote to European Integration Committee to open dialogue on whether EC responded to questions raised on electricity trade with third party states.</w:t>
      </w:r>
    </w:p>
    <w:p>
      <w:pPr>
        <w:pStyle w:val="Normal"/>
        <w:autoSpaceDE w:val="false"/>
        <w:rPr>
          <w:szCs w:val="20"/>
          <w:lang w:val="en-US"/>
        </w:rPr>
      </w:pPr>
      <w:r>
        <w:rPr>
          <w:szCs w:val="20"/>
          <w:lang w:val="en-US"/>
        </w:rPr>
      </w:r>
    </w:p>
    <w:p>
      <w:pPr>
        <w:pStyle w:val="Normal"/>
        <w:numPr>
          <w:ilvl w:val="0"/>
          <w:numId w:val="6"/>
        </w:numPr>
        <w:autoSpaceDE w:val="false"/>
        <w:rPr>
          <w:szCs w:val="20"/>
          <w:lang w:val="en-US"/>
        </w:rPr>
      </w:pPr>
      <w:r>
        <w:rPr>
          <w:szCs w:val="20"/>
          <w:lang w:val="en-US"/>
        </w:rPr>
        <w:t>Austrian gas</w:t>
      </w:r>
    </w:p>
    <w:p>
      <w:pPr>
        <w:pStyle w:val="Normal"/>
        <w:autoSpaceDE w:val="false"/>
        <w:ind w:start="720" w:end="0"/>
        <w:rPr>
          <w:szCs w:val="20"/>
          <w:lang w:val="en-US"/>
        </w:rPr>
      </w:pPr>
      <w:r>
        <w:rPr>
          <w:szCs w:val="20"/>
          <w:lang w:val="en-US"/>
        </w:rPr>
        <w:t>Met with regulator to discuss possible gas issues (though he does not yet have authority for gas).  Expressed particular interest in storage, hourly balancing, stranded costs and release gas.</w:t>
      </w:r>
    </w:p>
    <w:p>
      <w:pPr>
        <w:pStyle w:val="Normal"/>
        <w:autoSpaceDE w:val="false"/>
        <w:ind w:firstLine="720" w:end="0"/>
        <w:rPr>
          <w:szCs w:val="20"/>
          <w:lang w:val="en-US"/>
        </w:rPr>
      </w:pPr>
      <w:r>
        <w:rPr>
          <w:szCs w:val="20"/>
          <w:lang w:val="en-US"/>
        </w:rPr>
        <w:t>Has invited Enron back to present to Komission+Ministry+Industry in July or August.</w:t>
      </w:r>
    </w:p>
    <w:p>
      <w:pPr>
        <w:pStyle w:val="Normal"/>
        <w:autoSpaceDE w:val="false"/>
        <w:rPr>
          <w:szCs w:val="20"/>
          <w:lang w:val="en-US"/>
        </w:rPr>
      </w:pPr>
      <w:r>
        <w:rPr>
          <w:szCs w:val="20"/>
          <w:lang w:val="en-US"/>
        </w:rPr>
      </w:r>
    </w:p>
    <w:p>
      <w:pPr>
        <w:pStyle w:val="Normal"/>
        <w:numPr>
          <w:ilvl w:val="0"/>
          <w:numId w:val="6"/>
        </w:numPr>
        <w:autoSpaceDE w:val="false"/>
        <w:rPr>
          <w:szCs w:val="20"/>
          <w:lang w:val="en-US"/>
        </w:rPr>
      </w:pPr>
      <w:r>
        <w:rPr>
          <w:szCs w:val="20"/>
          <w:lang w:val="en-US"/>
        </w:rPr>
        <w:t>German gas</w:t>
      </w:r>
    </w:p>
    <w:p>
      <w:pPr>
        <w:pStyle w:val="Normal"/>
        <w:autoSpaceDE w:val="false"/>
        <w:ind w:firstLine="720" w:end="0"/>
        <w:rPr>
          <w:szCs w:val="20"/>
          <w:lang w:val="en-US"/>
        </w:rPr>
      </w:pPr>
      <w:r>
        <w:rPr>
          <w:szCs w:val="20"/>
          <w:lang w:val="en-US"/>
        </w:rPr>
        <w:t>Frontier report on suggested access model ongoing.</w:t>
      </w:r>
    </w:p>
    <w:p>
      <w:pPr>
        <w:pStyle w:val="Normal"/>
        <w:autoSpaceDE w:val="false"/>
        <w:rPr>
          <w:szCs w:val="20"/>
          <w:lang w:val="en-US"/>
        </w:rPr>
      </w:pPr>
      <w:r>
        <w:rPr>
          <w:szCs w:val="20"/>
          <w:lang w:val="en-US"/>
        </w:rPr>
      </w:r>
    </w:p>
    <w:p>
      <w:pPr>
        <w:pStyle w:val="Normal"/>
        <w:numPr>
          <w:ilvl w:val="0"/>
          <w:numId w:val="6"/>
        </w:numPr>
        <w:autoSpaceDE w:val="false"/>
        <w:rPr>
          <w:szCs w:val="20"/>
          <w:lang w:val="en-US"/>
        </w:rPr>
      </w:pPr>
      <w:r>
        <w:rPr>
          <w:szCs w:val="20"/>
          <w:lang w:val="en-US"/>
        </w:rPr>
        <w:t>Cont Gas</w:t>
      </w:r>
    </w:p>
    <w:p>
      <w:pPr>
        <w:pStyle w:val="Normal"/>
        <w:autoSpaceDE w:val="false"/>
        <w:ind w:start="720" w:end="0"/>
        <w:rPr>
          <w:szCs w:val="20"/>
          <w:lang w:val="en-US"/>
        </w:rPr>
      </w:pPr>
      <w:r>
        <w:rPr>
          <w:szCs w:val="20"/>
          <w:lang w:val="en-US"/>
        </w:rPr>
        <w:t>Meeting with Energyconsult postponed to 5 June.  They're building a model on Euro supply/demand akin to what Richard Harper is doing.</w:t>
      </w:r>
    </w:p>
    <w:p>
      <w:pPr>
        <w:pStyle w:val="Normal"/>
        <w:autoSpaceDE w:val="false"/>
        <w:ind w:start="720" w:end="0"/>
        <w:rPr>
          <w:szCs w:val="20"/>
          <w:lang w:val="en-US"/>
        </w:rPr>
      </w:pPr>
      <w:r>
        <w:rPr>
          <w:szCs w:val="20"/>
          <w:lang w:val="en-US"/>
        </w:rPr>
        <w:t>Met with Asplin / Gallagher to discuss reg priorities for EFET GWG / Madrid CEER meeting.</w:t>
      </w:r>
    </w:p>
    <w:p>
      <w:pPr>
        <w:pStyle w:val="Normal"/>
        <w:autoSpaceDE w:val="false"/>
        <w:ind w:firstLine="720" w:end="0"/>
        <w:rPr>
          <w:szCs w:val="20"/>
          <w:lang w:val="en-US"/>
        </w:rPr>
      </w:pPr>
      <w:r>
        <w:rPr>
          <w:szCs w:val="20"/>
          <w:lang w:val="en-US"/>
        </w:rPr>
        <w:t>EFET GWG pre-madrid meeting in Amsterdam on 8 June.</w:t>
      </w:r>
    </w:p>
    <w:p>
      <w:pPr>
        <w:pStyle w:val="Normal"/>
        <w:autoSpaceDE w:val="false"/>
        <w:rPr>
          <w:rFonts w:ascii="Arial" w:hAnsi="Arial" w:cs="Arial"/>
          <w:sz w:val="20"/>
          <w:szCs w:val="20"/>
          <w:lang w:val="en-US"/>
        </w:rPr>
      </w:pPr>
      <w:r>
        <w:rPr>
          <w:rFonts w:cs="Arial" w:ascii="Arial" w:hAnsi="Arial"/>
          <w:sz w:val="20"/>
          <w:szCs w:val="20"/>
          <w:lang w:val="en-US"/>
        </w:rPr>
      </w:r>
    </w:p>
    <w:p>
      <w:pPr>
        <w:pStyle w:val="BodyText"/>
        <w:jc w:val="both"/>
        <w:rPr>
          <w:rFonts w:ascii="Times New Roman" w:hAnsi="Times New Roman" w:cs="Times New Roman"/>
          <w:b/>
          <w:bCs/>
          <w:sz w:val="28"/>
          <w:szCs w:val="20"/>
          <w:lang w:val="en-US"/>
        </w:rPr>
      </w:pPr>
      <w:r>
        <w:rPr>
          <w:rFonts w:cs="Times New Roman" w:ascii="Times New Roman" w:hAnsi="Times New Roman"/>
          <w:b/>
          <w:bCs/>
          <w:sz w:val="28"/>
          <w:szCs w:val="20"/>
          <w:lang w:val="en-US"/>
        </w:rPr>
      </w:r>
    </w:p>
    <w:p>
      <w:pPr>
        <w:pStyle w:val="BodyText"/>
        <w:jc w:val="both"/>
        <w:rPr>
          <w:rFonts w:ascii="Times New Roman" w:hAnsi="Times New Roman" w:cs="Times New Roman"/>
          <w:b/>
          <w:bCs/>
          <w:sz w:val="28"/>
        </w:rPr>
      </w:pPr>
      <w:r>
        <w:rPr>
          <w:rFonts w:cs="Times New Roman" w:ascii="Times New Roman" w:hAnsi="Times New Roman"/>
          <w:b/>
          <w:bCs/>
          <w:sz w:val="28"/>
        </w:rPr>
        <w:t>Xi-Xi</w:t>
      </w:r>
    </w:p>
    <w:p>
      <w:pPr>
        <w:pStyle w:val="BodyText"/>
        <w:jc w:val="both"/>
        <w:rPr>
          <w:rFonts w:ascii="Times New Roman" w:hAnsi="Times New Roman" w:cs="Times New Roman"/>
          <w:b/>
          <w:bCs/>
          <w:sz w:val="28"/>
        </w:rPr>
      </w:pPr>
      <w:r>
        <w:rPr>
          <w:rFonts w:cs="Times New Roman" w:ascii="Times New Roman" w:hAnsi="Times New Roman"/>
          <w:b/>
          <w:bCs/>
          <w:sz w:val="28"/>
        </w:rPr>
      </w:r>
    </w:p>
    <w:p>
      <w:pPr>
        <w:pStyle w:val="BodyText"/>
        <w:jc w:val="both"/>
        <w:rPr>
          <w:rFonts w:ascii="Times New Roman" w:hAnsi="Times New Roman" w:cs="Times New Roman"/>
          <w:b/>
          <w:bCs/>
          <w:sz w:val="24"/>
        </w:rPr>
      </w:pPr>
      <w:r>
        <w:rPr>
          <w:rFonts w:cs="Times New Roman" w:ascii="Times New Roman" w:hAnsi="Times New Roman"/>
          <w:b/>
          <w:bCs/>
          <w:sz w:val="24"/>
        </w:rPr>
      </w:r>
    </w:p>
    <w:sectPr>
      <w:type w:val="nextPage"/>
      <w:pgSz w:w="12240" w:h="15840"/>
      <w:pgMar w:left="1800" w:right="1800" w:gutter="0" w:header="0" w:top="1440" w:footer="0" w:bottom="1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80"/>
        </w:tabs>
        <w:ind w:start="78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80"/>
        </w:tabs>
        <w:ind w:start="780" w:hanging="360"/>
      </w:pPr>
      <w:rPr>
        <w:rFonts w:ascii="Symbol" w:hAnsi="Symbol" w:cs="Symbol" w:hint="default"/>
      </w:rPr>
    </w:lvl>
  </w:abstractNum>
  <w:abstractNum w:abstractNumId="8">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autoSpaceDE w:val="false"/>
      <w:outlineLvl w:val="0"/>
    </w:pPr>
    <w:rPr>
      <w:b/>
      <w:bCs/>
      <w:color w:val="000000"/>
      <w:szCs w:val="20"/>
      <w:lang w:val="en-US"/>
    </w:rPr>
  </w:style>
  <w:style w:type="paragraph" w:styleId="Heading2">
    <w:name w:val="heading 2"/>
    <w:basedOn w:val="Normal"/>
    <w:next w:val="Normal"/>
    <w:qFormat/>
    <w:pPr>
      <w:keepNext w:val="true"/>
      <w:numPr>
        <w:ilvl w:val="1"/>
        <w:numId w:val="1"/>
      </w:numPr>
      <w:autoSpaceDE w:val="false"/>
      <w:jc w:val="both"/>
      <w:outlineLvl w:val="1"/>
    </w:pPr>
    <w:rPr>
      <w:b/>
      <w:bCs/>
      <w:color w:val="000000"/>
      <w:szCs w:val="20"/>
      <w:lang w:val="en-US"/>
    </w:rPr>
  </w:style>
  <w:style w:type="paragraph" w:styleId="Heading3">
    <w:name w:val="heading 3"/>
    <w:basedOn w:val="Normal"/>
    <w:next w:val="Normal"/>
    <w:qFormat/>
    <w:pPr>
      <w:keepNext w:val="true"/>
      <w:numPr>
        <w:ilvl w:val="2"/>
        <w:numId w:val="1"/>
      </w:numPr>
      <w:autoSpaceDE w:val="false"/>
      <w:jc w:val="both"/>
      <w:outlineLvl w:val="2"/>
    </w:pPr>
    <w:rPr>
      <w:i/>
      <w:iCs/>
      <w:color w:val="000000"/>
      <w:szCs w:val="20"/>
      <w:lang w:val="en-US"/>
    </w:rPr>
  </w:style>
  <w:style w:type="paragraph" w:styleId="Heading4">
    <w:name w:val="heading 4"/>
    <w:basedOn w:val="Normal"/>
    <w:next w:val="Normal"/>
    <w:qFormat/>
    <w:pPr>
      <w:keepNext w:val="true"/>
      <w:numPr>
        <w:ilvl w:val="3"/>
        <w:numId w:val="1"/>
      </w:numPr>
      <w:autoSpaceDE w:val="false"/>
      <w:jc w:val="both"/>
      <w:outlineLvl w:val="3"/>
    </w:pPr>
    <w:rPr>
      <w:b/>
      <w:bCs/>
      <w:color w:val="000000"/>
      <w:sz w:val="28"/>
      <w:szCs w:val="20"/>
      <w:lang w:val="en-U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St4z0">
    <w:name w:val="WW8NumSt4z0"/>
    <w:qFormat/>
    <w:rPr>
      <w:rFonts w:ascii="Symbol" w:hAnsi="Symbol" w:cs="Symbol"/>
    </w:rPr>
  </w:style>
  <w:style w:type="character" w:styleId="WW8NumSt4z1">
    <w:name w:val="WW8NumSt4z1"/>
    <w:qFormat/>
    <w:rPr>
      <w:rFonts w:ascii="Courier New" w:hAnsi="Courier New" w:cs="Courier New"/>
    </w:rPr>
  </w:style>
  <w:style w:type="character" w:styleId="WW8NumSt4z2">
    <w:name w:val="WW8NumSt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rFonts w:ascii="Arial" w:hAnsi="Arial" w:cs="Arial"/>
      <w:color w:val="000000"/>
      <w:sz w:val="20"/>
      <w:szCs w:val="20"/>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hanging="0" w:start="360" w:end="0"/>
      <w:jc w:val="both"/>
    </w:pPr>
    <w:rPr>
      <w:color w:val="000000"/>
      <w:szCs w:val="20"/>
      <w:lang w:val="en-US"/>
    </w:rPr>
  </w:style>
  <w:style w:type="paragraph" w:styleId="BodyText2">
    <w:name w:val="Body Text 2"/>
    <w:basedOn w:val="Normal"/>
    <w:qFormat/>
    <w:pPr>
      <w:autoSpaceDE w:val="false"/>
    </w:pPr>
    <w:rPr>
      <w:color w:val="000000"/>
      <w:szCs w:val="20"/>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2001-05-29T09:44:00Z</dcterms:created>
  <dc:creator>akeenan</dc:creator>
  <dc:description/>
  <dc:language>en-CA</dc:language>
  <cp:lastModifiedBy>mglen</cp:lastModifiedBy>
  <dcterms:modified xsi:type="dcterms:W3CDTF">2001-05-29T09:44:00Z</dcterms:modified>
  <cp:revision>2</cp:revision>
  <dc:subject/>
  <dc:title>Government Affairs Staff Meeting, Monday 21 May 2001</dc:title>
</cp:coreProperties>
</file>