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4" w:space="1" w:color="000000"/>
          <w:left w:val="single" w:sz="4" w:space="4" w:color="000000"/>
          <w:bottom w:val="single" w:sz="4" w:space="1" w:color="000000"/>
          <w:right w:val="single" w:sz="4" w:space="4" w:color="000000"/>
        </w:pBdr>
        <w:rPr/>
      </w:pPr>
      <w:r>
        <w:rPr/>
      </w:r>
    </w:p>
    <w:p>
      <w:pPr>
        <w:pStyle w:val="Heading"/>
        <w:pBdr>
          <w:top w:val="single" w:sz="4" w:space="1" w:color="000000"/>
          <w:left w:val="single" w:sz="4" w:space="4" w:color="000000"/>
          <w:bottom w:val="single" w:sz="4" w:space="1" w:color="000000"/>
          <w:right w:val="single" w:sz="4" w:space="4" w:color="000000"/>
        </w:pBdr>
        <w:rPr>
          <w:color w:val="000000"/>
          <w:effect w:val="blinkBackground"/>
        </w:rPr>
      </w:pPr>
      <w:r>
        <w:rPr>
          <w:color w:val="000000"/>
          <w:effect w:val="blinkBackground"/>
        </w:rPr>
        <w:t>GOVERNMENT AFFAIRS STAFF MEETING, MONDAY 21 MAY 2001</w:t>
      </w:r>
    </w:p>
    <w:p>
      <w:pPr>
        <w:pStyle w:val="Heading"/>
        <w:pBdr>
          <w:top w:val="single" w:sz="4" w:space="1" w:color="000000"/>
          <w:left w:val="single" w:sz="4" w:space="4" w:color="000000"/>
          <w:bottom w:val="single" w:sz="4" w:space="1" w:color="000000"/>
          <w:right w:val="single" w:sz="4" w:space="4" w:color="000000"/>
        </w:pBdr>
        <w:rPr>
          <w:color w:val="000000"/>
          <w:effect w:val="blinkBackground"/>
        </w:rPr>
      </w:pPr>
      <w:r>
        <w:rPr>
          <w:color w:val="000000"/>
          <w:effect w:val="blinkBackground"/>
        </w:rPr>
      </w:r>
    </w:p>
    <w:p>
      <w:pPr>
        <w:pStyle w:val="Normal"/>
        <w:jc w:val="both"/>
        <w:rPr>
          <w:color w:val="000000"/>
        </w:rPr>
      </w:pPr>
      <w:r>
        <w:rPr>
          <w:color w:val="000000"/>
        </w:rPr>
      </w:r>
    </w:p>
    <w:p>
      <w:pPr>
        <w:pStyle w:val="Normal"/>
        <w:jc w:val="both"/>
        <w:rPr>
          <w:color w:val="000000"/>
          <w:szCs w:val="20"/>
          <w:lang w:val="en-US"/>
        </w:rPr>
      </w:pPr>
      <w:r>
        <w:rPr>
          <w:color w:val="000000"/>
          <w:szCs w:val="20"/>
          <w:lang w:val="en-US"/>
        </w:rPr>
      </w:r>
    </w:p>
    <w:p>
      <w:pPr>
        <w:pStyle w:val="Normal"/>
        <w:autoSpaceDE w:val="false"/>
        <w:jc w:val="both"/>
        <w:rPr>
          <w:b/>
          <w:bCs/>
          <w:color w:val="000000"/>
          <w:sz w:val="28"/>
          <w:szCs w:val="20"/>
          <w:lang w:val="en-US"/>
        </w:rPr>
      </w:pPr>
      <w:r>
        <w:rPr>
          <w:b/>
          <w:bCs/>
          <w:color w:val="000000"/>
          <w:sz w:val="28"/>
          <w:szCs w:val="20"/>
          <w:lang w:val="en-US"/>
        </w:rPr>
        <w:t>Philip Davies</w:t>
      </w:r>
    </w:p>
    <w:p>
      <w:pPr>
        <w:pStyle w:val="Normal"/>
        <w:autoSpaceDE w:val="false"/>
        <w:jc w:val="both"/>
        <w:rPr>
          <w:b/>
          <w:bCs/>
          <w:color w:val="000000"/>
          <w:sz w:val="28"/>
          <w:szCs w:val="20"/>
          <w:lang w:val="en-US"/>
        </w:rPr>
      </w:pPr>
      <w:r>
        <w:rPr>
          <w:b/>
          <w:bCs/>
          <w:color w:val="000000"/>
          <w:sz w:val="28"/>
          <w:szCs w:val="20"/>
          <w:lang w:val="en-US"/>
        </w:rPr>
      </w:r>
    </w:p>
    <w:p>
      <w:pPr>
        <w:pStyle w:val="Normal"/>
        <w:autoSpaceDE w:val="false"/>
        <w:jc w:val="both"/>
        <w:rPr>
          <w:b/>
          <w:bCs/>
          <w:color w:val="000000"/>
          <w:sz w:val="28"/>
          <w:szCs w:val="20"/>
          <w:lang w:val="en-US"/>
        </w:rPr>
      </w:pPr>
      <w:r>
        <w:rPr>
          <w:b/>
          <w:bCs/>
          <w:color w:val="000000"/>
          <w:sz w:val="28"/>
          <w:szCs w:val="20"/>
          <w:lang w:val="en-US"/>
        </w:rPr>
        <w:t>Paul Dawson</w:t>
      </w:r>
    </w:p>
    <w:p>
      <w:pPr>
        <w:pStyle w:val="Normal"/>
        <w:autoSpaceDE w:val="false"/>
        <w:jc w:val="both"/>
        <w:rPr>
          <w:b/>
          <w:bCs/>
          <w:color w:val="000000"/>
          <w:sz w:val="28"/>
          <w:szCs w:val="20"/>
          <w:lang w:val="en-US"/>
        </w:rPr>
      </w:pPr>
      <w:r>
        <w:rPr>
          <w:b/>
          <w:bCs/>
          <w:color w:val="000000"/>
          <w:sz w:val="28"/>
          <w:szCs w:val="20"/>
          <w:lang w:val="en-US"/>
        </w:rPr>
      </w:r>
    </w:p>
    <w:p>
      <w:pPr>
        <w:pStyle w:val="Heading1"/>
        <w:spacing w:lineRule="atLeast" w:line="240"/>
        <w:ind w:hanging="0" w:start="0"/>
        <w:jc w:val="both"/>
        <w:rPr>
          <w:b w:val="false"/>
          <w:bCs w:val="false"/>
        </w:rPr>
      </w:pPr>
      <w:r>
        <w:rPr>
          <w:b w:val="false"/>
          <w:bCs w:val="false"/>
        </w:rPr>
        <w:t>UK Power</w:t>
      </w:r>
    </w:p>
    <w:p>
      <w:pPr>
        <w:pStyle w:val="Normal"/>
        <w:numPr>
          <w:ilvl w:val="0"/>
          <w:numId w:val="8"/>
        </w:numPr>
        <w:autoSpaceDE w:val="false"/>
        <w:spacing w:lineRule="atLeast" w:line="240"/>
        <w:jc w:val="both"/>
        <w:rPr>
          <w:color w:val="000000"/>
          <w:szCs w:val="20"/>
          <w:lang w:val="en-US"/>
        </w:rPr>
      </w:pPr>
      <w:r>
        <w:rPr>
          <w:color w:val="000000"/>
          <w:szCs w:val="20"/>
          <w:lang w:val="en-US"/>
        </w:rPr>
        <w:t>Address flaws in NETA through modifications to the Balancing and Settlement Code.</w:t>
      </w:r>
    </w:p>
    <w:p>
      <w:pPr>
        <w:pStyle w:val="Heading1"/>
        <w:spacing w:lineRule="atLeast" w:line="240"/>
        <w:ind w:hanging="0" w:start="0"/>
        <w:jc w:val="both"/>
        <w:rPr>
          <w:b w:val="false"/>
          <w:bCs w:val="false"/>
        </w:rPr>
      </w:pPr>
      <w:r>
        <w:rPr>
          <w:b w:val="false"/>
          <w:bCs w:val="false"/>
        </w:rPr>
        <w:t>UK Rail</w:t>
      </w:r>
    </w:p>
    <w:p>
      <w:pPr>
        <w:pStyle w:val="Normal"/>
        <w:numPr>
          <w:ilvl w:val="0"/>
          <w:numId w:val="8"/>
        </w:numPr>
        <w:autoSpaceDE w:val="false"/>
        <w:spacing w:lineRule="atLeast" w:line="240"/>
        <w:jc w:val="both"/>
        <w:rPr>
          <w:color w:val="000000"/>
          <w:szCs w:val="20"/>
          <w:lang w:val="en-US"/>
        </w:rPr>
      </w:pPr>
      <w:r>
        <w:rPr>
          <w:color w:val="000000"/>
          <w:szCs w:val="20"/>
        </w:rPr>
        <w:t>Complaint against rail service provider for abuse of dominance</w:t>
      </w:r>
    </w:p>
    <w:p>
      <w:pPr>
        <w:pStyle w:val="Normal"/>
        <w:autoSpaceDE w:val="false"/>
        <w:spacing w:lineRule="atLeast" w:line="240"/>
        <w:jc w:val="both"/>
        <w:rPr/>
      </w:pPr>
      <w:r>
        <w:rPr>
          <w:color w:val="000000"/>
          <w:szCs w:val="20"/>
        </w:rPr>
        <w:t xml:space="preserve">UK </w:t>
      </w:r>
      <w:r>
        <w:rPr>
          <w:color w:val="000000"/>
          <w:szCs w:val="20"/>
          <w:lang w:val="en-US"/>
        </w:rPr>
        <w:t>Gas</w:t>
      </w:r>
    </w:p>
    <w:p>
      <w:pPr>
        <w:pStyle w:val="Normal"/>
        <w:numPr>
          <w:ilvl w:val="0"/>
          <w:numId w:val="8"/>
        </w:numPr>
        <w:autoSpaceDE w:val="false"/>
        <w:spacing w:lineRule="atLeast" w:line="240"/>
        <w:jc w:val="both"/>
        <w:rPr>
          <w:color w:val="000000"/>
          <w:szCs w:val="20"/>
          <w:lang w:val="en-US"/>
        </w:rPr>
      </w:pPr>
      <w:r>
        <w:rPr>
          <w:color w:val="000000"/>
          <w:szCs w:val="20"/>
        </w:rPr>
        <w:t>Energy balancing</w:t>
      </w:r>
    </w:p>
    <w:p>
      <w:pPr>
        <w:pStyle w:val="Normal"/>
        <w:autoSpaceDE w:val="false"/>
        <w:spacing w:lineRule="atLeast" w:line="240"/>
        <w:ind w:start="360" w:end="0"/>
        <w:jc w:val="both"/>
        <w:rPr>
          <w:color w:val="000000"/>
          <w:szCs w:val="20"/>
          <w:lang w:val="en-US"/>
        </w:rPr>
      </w:pPr>
      <w:r>
        <w:rPr>
          <w:color w:val="000000"/>
          <w:szCs w:val="20"/>
          <w:lang w:val="en-US"/>
        </w:rPr>
      </w:r>
    </w:p>
    <w:p>
      <w:pPr>
        <w:pStyle w:val="Normal"/>
        <w:autoSpaceDE w:val="false"/>
        <w:jc w:val="both"/>
        <w:rPr>
          <w:color w:val="000000"/>
          <w:szCs w:val="20"/>
        </w:rPr>
      </w:pPr>
      <w:r>
        <w:rPr>
          <w:color w:val="000000"/>
          <w:szCs w:val="20"/>
        </w:rPr>
        <w:t>Compliance with legislative changes further to EU Gas Directive</w:t>
      </w:r>
    </w:p>
    <w:p>
      <w:pPr>
        <w:pStyle w:val="Normal"/>
        <w:autoSpaceDE w:val="false"/>
        <w:jc w:val="both"/>
        <w:rPr>
          <w:b/>
          <w:bCs/>
          <w:color w:val="000000"/>
          <w:szCs w:val="20"/>
          <w:lang w:val="en-US"/>
        </w:rPr>
      </w:pPr>
      <w:r>
        <w:rPr>
          <w:b/>
          <w:bCs/>
          <w:color w:val="000000"/>
          <w:szCs w:val="20"/>
          <w:lang w:val="en-US"/>
        </w:rPr>
      </w:r>
    </w:p>
    <w:p>
      <w:pPr>
        <w:pStyle w:val="Heading4"/>
        <w:ind w:hanging="0" w:start="0"/>
        <w:rPr/>
      </w:pPr>
      <w:r>
        <w:rPr/>
        <w:t>Brendan Devlin</w:t>
      </w:r>
    </w:p>
    <w:p>
      <w:pPr>
        <w:pStyle w:val="Normal"/>
        <w:autoSpaceDE w:val="false"/>
        <w:spacing w:lineRule="atLeast" w:line="240"/>
        <w:jc w:val="both"/>
        <w:rPr>
          <w:color w:val="000000"/>
          <w:szCs w:val="20"/>
          <w:lang w:val="en-US"/>
        </w:rPr>
      </w:pPr>
      <w:r>
        <w:rPr>
          <w:color w:val="000000"/>
          <w:szCs w:val="20"/>
          <w:lang w:val="en-US"/>
        </w:rPr>
      </w:r>
    </w:p>
    <w:p>
      <w:pPr>
        <w:pStyle w:val="Normal"/>
        <w:numPr>
          <w:ilvl w:val="0"/>
          <w:numId w:val="2"/>
        </w:numPr>
        <w:autoSpaceDE w:val="false"/>
        <w:spacing w:lineRule="atLeast" w:line="240"/>
        <w:jc w:val="both"/>
        <w:rPr>
          <w:color w:val="000000"/>
          <w:szCs w:val="20"/>
          <w:lang w:val="en-US"/>
        </w:rPr>
      </w:pPr>
      <w:r>
        <w:rPr>
          <w:color w:val="000000"/>
          <w:szCs w:val="20"/>
          <w:lang w:val="en-US"/>
        </w:rPr>
        <w:t>had lunch with Klaus Geil Friday 18 May.</w:t>
      </w:r>
    </w:p>
    <w:p>
      <w:pPr>
        <w:pStyle w:val="BodyTextIndent"/>
        <w:numPr>
          <w:ilvl w:val="0"/>
          <w:numId w:val="2"/>
        </w:numPr>
        <w:rPr/>
      </w:pPr>
      <w:r>
        <w:rPr/>
        <w:t>on GFU remedies, these were in discussion stage; Commission has had meeting two days ago with Statoil and Nor. government. No further comment.</w:t>
      </w:r>
    </w:p>
    <w:p>
      <w:pPr>
        <w:pStyle w:val="Normal"/>
        <w:numPr>
          <w:ilvl w:val="0"/>
          <w:numId w:val="2"/>
        </w:numPr>
        <w:autoSpaceDE w:val="false"/>
        <w:spacing w:lineRule="atLeast" w:line="240"/>
        <w:jc w:val="both"/>
        <w:rPr>
          <w:color w:val="000000"/>
          <w:szCs w:val="20"/>
          <w:lang w:val="en-US"/>
        </w:rPr>
      </w:pPr>
      <w:r>
        <w:rPr>
          <w:color w:val="000000"/>
          <w:szCs w:val="20"/>
          <w:lang w:val="en-US"/>
        </w:rPr>
        <w:t>Interconnector: firmly in hands of DG Comp (Schnickels, incidentally my replacement in that Unit). I will follow up.</w:t>
      </w:r>
    </w:p>
    <w:p>
      <w:pPr>
        <w:pStyle w:val="Normal"/>
        <w:numPr>
          <w:ilvl w:val="0"/>
          <w:numId w:val="2"/>
        </w:numPr>
        <w:autoSpaceDE w:val="false"/>
        <w:spacing w:lineRule="atLeast" w:line="240"/>
        <w:jc w:val="both"/>
        <w:rPr>
          <w:color w:val="000000"/>
          <w:szCs w:val="20"/>
          <w:lang w:val="en-US"/>
        </w:rPr>
      </w:pPr>
      <w:r>
        <w:rPr>
          <w:color w:val="000000"/>
          <w:szCs w:val="20"/>
          <w:lang w:val="en-US"/>
        </w:rPr>
        <w:t>On Progress on Gas strategy paper: invited comments before end of May, in time to incorporate by Madrid meeting.</w:t>
      </w:r>
    </w:p>
    <w:p>
      <w:pPr>
        <w:pStyle w:val="Normal"/>
        <w:numPr>
          <w:ilvl w:val="0"/>
          <w:numId w:val="2"/>
        </w:numPr>
        <w:autoSpaceDE w:val="false"/>
        <w:jc w:val="both"/>
        <w:rPr>
          <w:color w:val="000000"/>
          <w:szCs w:val="20"/>
          <w:lang w:val="en-US"/>
        </w:rPr>
      </w:pPr>
      <w:r>
        <w:rPr>
          <w:color w:val="000000"/>
          <w:szCs w:val="20"/>
          <w:lang w:val="en-US"/>
        </w:rPr>
        <w:t>GTE -- DG TREN needs support from EFET and expected strong showing in response to GTE’s invitation to make comments.</w:t>
      </w:r>
    </w:p>
    <w:p>
      <w:pPr>
        <w:pStyle w:val="Normal"/>
        <w:autoSpaceDE w:val="false"/>
        <w:jc w:val="both"/>
        <w:rPr>
          <w:b/>
          <w:bCs/>
          <w:color w:val="000000"/>
          <w:szCs w:val="20"/>
          <w:lang w:val="en-US"/>
        </w:rPr>
      </w:pPr>
      <w:r>
        <w:rPr>
          <w:b/>
          <w:bCs/>
          <w:color w:val="000000"/>
          <w:szCs w:val="20"/>
          <w:lang w:val="en-US"/>
        </w:rPr>
      </w:r>
    </w:p>
    <w:p>
      <w:pPr>
        <w:pStyle w:val="Heading2"/>
        <w:ind w:hanging="0" w:start="0"/>
        <w:rPr>
          <w:sz w:val="28"/>
        </w:rPr>
      </w:pPr>
      <w:r>
        <w:rPr>
          <w:sz w:val="28"/>
        </w:rPr>
        <w:t>Nailia Dindarova</w:t>
      </w:r>
    </w:p>
    <w:p>
      <w:pPr>
        <w:pStyle w:val="Normal"/>
        <w:autoSpaceDE w:val="false"/>
        <w:jc w:val="both"/>
        <w:rPr>
          <w:color w:val="000000"/>
          <w:sz w:val="28"/>
          <w:szCs w:val="20"/>
          <w:lang w:val="en-US"/>
        </w:rPr>
      </w:pPr>
      <w:r>
        <w:rPr>
          <w:color w:val="000000"/>
          <w:sz w:val="28"/>
          <w:szCs w:val="20"/>
          <w:lang w:val="en-US"/>
        </w:rPr>
      </w:r>
    </w:p>
    <w:p>
      <w:pPr>
        <w:pStyle w:val="Normal"/>
        <w:autoSpaceDE w:val="false"/>
        <w:jc w:val="both"/>
        <w:rPr>
          <w:color w:val="000000"/>
          <w:szCs w:val="20"/>
          <w:lang w:val="en-US"/>
        </w:rPr>
      </w:pPr>
      <w:r>
        <w:rPr>
          <w:color w:val="000000"/>
          <w:szCs w:val="20"/>
          <w:lang w:val="en-US"/>
        </w:rPr>
        <w:t>Apologies.  Will report in future on EU power, environment, petroleum and e-commerce.</w:t>
      </w:r>
    </w:p>
    <w:p>
      <w:pPr>
        <w:pStyle w:val="Normal"/>
        <w:autoSpaceDE w:val="false"/>
        <w:jc w:val="both"/>
        <w:rPr>
          <w:color w:val="000000"/>
          <w:szCs w:val="20"/>
          <w:lang w:val="en-US"/>
        </w:rPr>
      </w:pPr>
      <w:r>
        <w:rPr>
          <w:color w:val="000000"/>
          <w:szCs w:val="20"/>
          <w:lang w:val="en-US"/>
        </w:rPr>
      </w:r>
    </w:p>
    <w:p>
      <w:pPr>
        <w:pStyle w:val="Heading4"/>
        <w:ind w:hanging="0" w:start="0"/>
        <w:rPr/>
      </w:pPr>
      <w:r>
        <w:rPr/>
        <w:t>Antoine Duvauchelle</w:t>
      </w:r>
    </w:p>
    <w:p>
      <w:pPr>
        <w:pStyle w:val="Normal"/>
        <w:autoSpaceDE w:val="false"/>
        <w:jc w:val="both"/>
        <w:rPr>
          <w:b/>
          <w:bCs/>
          <w:color w:val="000000"/>
          <w:szCs w:val="20"/>
          <w:lang w:val="en-US"/>
        </w:rPr>
      </w:pPr>
      <w:r>
        <w:rPr>
          <w:b/>
          <w:bCs/>
          <w:color w:val="000000"/>
          <w:szCs w:val="20"/>
          <w:lang w:val="en-US"/>
        </w:rPr>
      </w:r>
    </w:p>
    <w:p>
      <w:pPr>
        <w:pStyle w:val="Normal"/>
        <w:numPr>
          <w:ilvl w:val="0"/>
          <w:numId w:val="5"/>
        </w:numPr>
        <w:autoSpaceDE w:val="false"/>
        <w:jc w:val="both"/>
        <w:rPr>
          <w:color w:val="000000"/>
          <w:szCs w:val="20"/>
          <w:lang w:val="en-US"/>
        </w:rPr>
      </w:pPr>
      <w:r>
        <w:rPr>
          <w:color w:val="000000"/>
          <w:szCs w:val="20"/>
          <w:lang w:val="en-US"/>
        </w:rPr>
        <w:t xml:space="preserve"> </w:t>
      </w:r>
      <w:r>
        <w:rPr>
          <w:color w:val="000000"/>
          <w:szCs w:val="20"/>
          <w:lang w:val="en-US"/>
        </w:rPr>
        <w:tab/>
        <w:t>started country reports on Central European countries, first to enter the EU</w:t>
      </w:r>
    </w:p>
    <w:p>
      <w:pPr>
        <w:pStyle w:val="BodyText2"/>
        <w:ind w:firstLine="720" w:end="0"/>
        <w:jc w:val="both"/>
        <w:rPr/>
      </w:pPr>
      <w:r>
        <w:rPr/>
        <w:t xml:space="preserve">- this report will have general country data and more precise energy related data </w:t>
      </w:r>
    </w:p>
    <w:p>
      <w:pPr>
        <w:pStyle w:val="BodyText2"/>
        <w:ind w:firstLine="720" w:end="0"/>
        <w:jc w:val="both"/>
        <w:rPr/>
      </w:pPr>
      <w:r>
        <w:rPr/>
        <w:t>and regulatory set-up</w:t>
      </w:r>
    </w:p>
    <w:p>
      <w:pPr>
        <w:pStyle w:val="BodyText2"/>
        <w:numPr>
          <w:ilvl w:val="0"/>
          <w:numId w:val="6"/>
        </w:numPr>
        <w:jc w:val="both"/>
        <w:rPr/>
      </w:pPr>
      <w:r>
        <w:rPr/>
        <w:t xml:space="preserve"> </w:t>
      </w:r>
      <w:r>
        <w:rPr/>
        <w:tab/>
        <w:t>worked on the CEVCO deal with Jason, looking at DIGEC contract mathematics</w:t>
      </w:r>
    </w:p>
    <w:p>
      <w:pPr>
        <w:pStyle w:val="BodyText2"/>
        <w:ind w:firstLine="720" w:end="0"/>
        <w:jc w:val="both"/>
        <w:rPr/>
      </w:pPr>
      <w:r>
        <w:rPr/>
        <w:t>and legal requirements</w:t>
      </w:r>
    </w:p>
    <w:p>
      <w:pPr>
        <w:pStyle w:val="Normal"/>
        <w:autoSpaceDE w:val="false"/>
        <w:jc w:val="both"/>
        <w:rPr>
          <w:b/>
          <w:bCs/>
          <w:color w:val="000000"/>
          <w:sz w:val="28"/>
          <w:szCs w:val="20"/>
          <w:lang w:val="en-US"/>
        </w:rPr>
      </w:pPr>
      <w:r>
        <w:rPr>
          <w:b/>
          <w:bCs/>
          <w:color w:val="000000"/>
          <w:sz w:val="28"/>
          <w:szCs w:val="20"/>
          <w:lang w:val="en-US"/>
        </w:rPr>
      </w:r>
    </w:p>
    <w:p>
      <w:pPr>
        <w:pStyle w:val="Normal"/>
        <w:autoSpaceDE w:val="false"/>
        <w:jc w:val="both"/>
        <w:rPr>
          <w:b/>
          <w:bCs/>
          <w:color w:val="000000"/>
          <w:sz w:val="28"/>
          <w:szCs w:val="20"/>
          <w:lang w:val="en-US"/>
        </w:rPr>
      </w:pPr>
      <w:r>
        <w:rPr>
          <w:b/>
          <w:bCs/>
          <w:color w:val="000000"/>
          <w:sz w:val="28"/>
          <w:szCs w:val="20"/>
          <w:lang w:val="en-US"/>
        </w:rPr>
        <w:t>Nick Elms</w:t>
      </w:r>
    </w:p>
    <w:p>
      <w:pPr>
        <w:pStyle w:val="Normal"/>
        <w:autoSpaceDE w:val="false"/>
        <w:jc w:val="both"/>
        <w:rPr>
          <w:b/>
          <w:bCs/>
          <w:color w:val="000000"/>
          <w:sz w:val="28"/>
          <w:szCs w:val="20"/>
          <w:lang w:val="en-US"/>
        </w:rPr>
      </w:pPr>
      <w:r>
        <w:rPr>
          <w:b/>
          <w:bCs/>
          <w:color w:val="000000"/>
          <w:sz w:val="28"/>
          <w:szCs w:val="20"/>
          <w:lang w:val="en-US"/>
        </w:rPr>
      </w:r>
    </w:p>
    <w:p>
      <w:pPr>
        <w:pStyle w:val="Normal"/>
        <w:numPr>
          <w:ilvl w:val="0"/>
          <w:numId w:val="4"/>
        </w:numPr>
        <w:autoSpaceDE w:val="false"/>
        <w:jc w:val="both"/>
        <w:rPr>
          <w:color w:val="000000"/>
          <w:szCs w:val="20"/>
          <w:lang w:val="en-US"/>
        </w:rPr>
      </w:pPr>
      <w:r>
        <w:rPr>
          <w:color w:val="000000"/>
          <w:szCs w:val="20"/>
          <w:lang w:val="en-US"/>
        </w:rPr>
        <w:t>NETA Mod P12: Reduction of Gate closure from 3.5 hours to 1 hour. Consultations will be called in June. I've begun work on Enron's submission.</w:t>
      </w:r>
    </w:p>
    <w:p>
      <w:pPr>
        <w:pStyle w:val="Normal"/>
        <w:numPr>
          <w:ilvl w:val="0"/>
          <w:numId w:val="4"/>
        </w:numPr>
        <w:autoSpaceDE w:val="false"/>
        <w:jc w:val="both"/>
        <w:rPr>
          <w:rFonts w:ascii="Arial" w:hAnsi="Arial" w:cs="Arial"/>
          <w:color w:val="000000"/>
          <w:sz w:val="20"/>
          <w:szCs w:val="20"/>
          <w:lang w:val="en-US"/>
        </w:rPr>
      </w:pPr>
      <w:r>
        <w:rPr>
          <w:color w:val="000000"/>
          <w:szCs w:val="20"/>
          <w:lang w:val="en-US"/>
        </w:rPr>
        <w:t>NETA Mod P9: Correction of Technical Error in Respect of ECVNs. Panel will report decision to Authority on Wednesday 23 May. I sent Elexon a last minute submission last Thursday agreeing with a slightly modified proposal.</w:t>
      </w:r>
    </w:p>
    <w:p>
      <w:pPr>
        <w:pStyle w:val="Normal"/>
        <w:autoSpaceDE w:val="false"/>
        <w:jc w:val="both"/>
        <w:rPr>
          <w:rFonts w:ascii="Arial" w:hAnsi="Arial" w:cs="Arial"/>
          <w:b/>
          <w:bCs/>
          <w:color w:val="000000"/>
          <w:sz w:val="28"/>
          <w:szCs w:val="20"/>
          <w:lang w:val="en-US"/>
        </w:rPr>
      </w:pPr>
      <w:r>
        <w:rPr>
          <w:rFonts w:cs="Arial" w:ascii="Arial" w:hAnsi="Arial"/>
          <w:b/>
          <w:bCs/>
          <w:color w:val="000000"/>
          <w:sz w:val="28"/>
          <w:szCs w:val="20"/>
          <w:lang w:val="en-US"/>
        </w:rPr>
      </w:r>
    </w:p>
    <w:p>
      <w:pPr>
        <w:pStyle w:val="Normal"/>
        <w:autoSpaceDE w:val="false"/>
        <w:jc w:val="both"/>
        <w:rPr>
          <w:b/>
          <w:bCs/>
          <w:color w:val="000000"/>
          <w:sz w:val="28"/>
          <w:szCs w:val="20"/>
          <w:lang w:val="en-US"/>
        </w:rPr>
      </w:pPr>
      <w:r>
        <w:rPr>
          <w:b/>
          <w:bCs/>
          <w:color w:val="000000"/>
          <w:sz w:val="28"/>
          <w:szCs w:val="20"/>
          <w:lang w:val="en-US"/>
        </w:rPr>
        <w:t>Viviana Florio</w:t>
      </w:r>
    </w:p>
    <w:p>
      <w:pPr>
        <w:pStyle w:val="Normal"/>
        <w:autoSpaceDE w:val="false"/>
        <w:jc w:val="both"/>
        <w:rPr>
          <w:b/>
          <w:bCs/>
          <w:color w:val="000000"/>
          <w:sz w:val="28"/>
          <w:szCs w:val="20"/>
          <w:lang w:val="en-US"/>
        </w:rPr>
      </w:pPr>
      <w:r>
        <w:rPr>
          <w:b/>
          <w:bCs/>
          <w:color w:val="000000"/>
          <w:sz w:val="28"/>
          <w:szCs w:val="20"/>
          <w:lang w:val="en-US"/>
        </w:rPr>
      </w:r>
    </w:p>
    <w:p>
      <w:pPr>
        <w:pStyle w:val="Normal"/>
        <w:autoSpaceDE w:val="false"/>
        <w:jc w:val="both"/>
        <w:rPr>
          <w:color w:val="000000"/>
          <w:szCs w:val="20"/>
          <w:lang w:val="en-US"/>
        </w:rPr>
      </w:pPr>
      <w:r>
        <w:rPr>
          <w:color w:val="000000"/>
          <w:szCs w:val="20"/>
          <w:lang w:val="en-US"/>
        </w:rPr>
        <w:t>On vacation.</w:t>
      </w:r>
    </w:p>
    <w:p>
      <w:pPr>
        <w:pStyle w:val="Normal"/>
        <w:autoSpaceDE w:val="false"/>
        <w:jc w:val="both"/>
        <w:rPr>
          <w:b/>
          <w:bCs/>
          <w:color w:val="000000"/>
          <w:sz w:val="28"/>
          <w:szCs w:val="20"/>
          <w:lang w:val="en-US"/>
        </w:rPr>
      </w:pPr>
      <w:r>
        <w:rPr>
          <w:b/>
          <w:bCs/>
          <w:color w:val="000000"/>
          <w:sz w:val="28"/>
          <w:szCs w:val="20"/>
          <w:lang w:val="en-US"/>
        </w:rPr>
      </w:r>
    </w:p>
    <w:p>
      <w:pPr>
        <w:pStyle w:val="Normal"/>
        <w:autoSpaceDE w:val="false"/>
        <w:jc w:val="both"/>
        <w:rPr>
          <w:b/>
          <w:bCs/>
          <w:color w:val="000000"/>
          <w:sz w:val="28"/>
          <w:szCs w:val="20"/>
          <w:lang w:val="en-US"/>
        </w:rPr>
      </w:pPr>
      <w:r>
        <w:rPr>
          <w:b/>
          <w:bCs/>
          <w:color w:val="000000"/>
          <w:sz w:val="28"/>
          <w:szCs w:val="20"/>
          <w:lang w:val="en-US"/>
        </w:rPr>
        <w:t>Bruno Gaillard</w:t>
      </w:r>
    </w:p>
    <w:p>
      <w:pPr>
        <w:pStyle w:val="Normal"/>
        <w:autoSpaceDE w:val="false"/>
        <w:jc w:val="both"/>
        <w:rPr>
          <w:b/>
          <w:bCs/>
          <w:color w:val="000000"/>
          <w:sz w:val="28"/>
          <w:szCs w:val="20"/>
          <w:lang w:val="en-US"/>
        </w:rPr>
      </w:pPr>
      <w:r>
        <w:rPr>
          <w:b/>
          <w:bCs/>
          <w:color w:val="000000"/>
          <w:sz w:val="28"/>
          <w:szCs w:val="20"/>
          <w:lang w:val="en-US"/>
        </w:rPr>
      </w:r>
    </w:p>
    <w:p>
      <w:pPr>
        <w:pStyle w:val="Normal"/>
        <w:autoSpaceDE w:val="false"/>
        <w:jc w:val="both"/>
        <w:rPr>
          <w:b/>
          <w:bCs/>
          <w:color w:val="000000"/>
          <w:sz w:val="28"/>
          <w:szCs w:val="20"/>
          <w:lang w:val="en-US"/>
        </w:rPr>
      </w:pPr>
      <w:r>
        <w:rPr>
          <w:b/>
          <w:bCs/>
          <w:color w:val="000000"/>
          <w:sz w:val="28"/>
          <w:szCs w:val="20"/>
          <w:lang w:val="en-US"/>
        </w:rPr>
        <w:t>Merle Glen</w:t>
      </w:r>
    </w:p>
    <w:p>
      <w:pPr>
        <w:pStyle w:val="Normal"/>
        <w:autoSpaceDE w:val="false"/>
        <w:jc w:val="both"/>
        <w:rPr>
          <w:b/>
          <w:bCs/>
          <w:color w:val="000000"/>
          <w:sz w:val="28"/>
          <w:szCs w:val="20"/>
          <w:lang w:val="en-US"/>
        </w:rPr>
      </w:pPr>
      <w:r>
        <w:rPr>
          <w:b/>
          <w:bCs/>
          <w:color w:val="000000"/>
          <w:sz w:val="28"/>
          <w:szCs w:val="20"/>
          <w:lang w:val="en-US"/>
        </w:rPr>
      </w:r>
    </w:p>
    <w:p>
      <w:pPr>
        <w:pStyle w:val="Heading1"/>
        <w:ind w:hanging="0" w:start="0"/>
        <w:jc w:val="both"/>
        <w:rPr>
          <w:sz w:val="28"/>
        </w:rPr>
      </w:pPr>
      <w:r>
        <w:rPr>
          <w:sz w:val="28"/>
        </w:rPr>
        <w:t>David Gonzales</w:t>
      </w:r>
    </w:p>
    <w:p>
      <w:pPr>
        <w:pStyle w:val="Normal"/>
        <w:autoSpaceDE w:val="false"/>
        <w:jc w:val="both"/>
        <w:rPr>
          <w:color w:val="000000"/>
          <w:sz w:val="28"/>
          <w:szCs w:val="20"/>
          <w:lang w:val="en-US"/>
        </w:rPr>
      </w:pPr>
      <w:r>
        <w:rPr>
          <w:color w:val="000000"/>
          <w:sz w:val="28"/>
          <w:szCs w:val="20"/>
          <w:lang w:val="en-US"/>
        </w:rPr>
      </w:r>
    </w:p>
    <w:p>
      <w:pPr>
        <w:pStyle w:val="Normal"/>
        <w:autoSpaceDE w:val="false"/>
        <w:jc w:val="both"/>
        <w:rPr>
          <w:color w:val="000000"/>
          <w:szCs w:val="20"/>
          <w:lang w:val="en-US"/>
        </w:rPr>
      </w:pPr>
      <w:r>
        <w:rPr>
          <w:color w:val="000000"/>
          <w:szCs w:val="20"/>
          <w:lang w:val="en-US"/>
        </w:rPr>
        <w:t>I will be in The Netherlands on Monday, however, here is what I have done this week and what I will be doing the following week:</w:t>
      </w:r>
    </w:p>
    <w:p>
      <w:pPr>
        <w:pStyle w:val="Normal"/>
        <w:autoSpaceDE w:val="false"/>
        <w:jc w:val="both"/>
        <w:rPr>
          <w:color w:val="000000"/>
          <w:szCs w:val="20"/>
          <w:lang w:val="en-US"/>
        </w:rPr>
      </w:pPr>
      <w:r>
        <w:rPr>
          <w:color w:val="000000"/>
          <w:szCs w:val="20"/>
          <w:lang w:val="en-US"/>
        </w:rPr>
      </w:r>
    </w:p>
    <w:p>
      <w:pPr>
        <w:pStyle w:val="Normal"/>
        <w:numPr>
          <w:ilvl w:val="0"/>
          <w:numId w:val="9"/>
        </w:numPr>
        <w:autoSpaceDE w:val="false"/>
        <w:jc w:val="both"/>
        <w:rPr>
          <w:color w:val="000000"/>
          <w:szCs w:val="20"/>
          <w:lang w:val="en-US"/>
        </w:rPr>
      </w:pPr>
      <w:r>
        <w:rPr>
          <w:color w:val="000000"/>
          <w:szCs w:val="20"/>
          <w:lang w:val="en-US"/>
        </w:rPr>
        <w:t>Enron Directo final licence for electricity.</w:t>
      </w:r>
    </w:p>
    <w:p>
      <w:pPr>
        <w:pStyle w:val="Normal"/>
        <w:numPr>
          <w:ilvl w:val="0"/>
          <w:numId w:val="9"/>
        </w:numPr>
        <w:autoSpaceDE w:val="false"/>
        <w:jc w:val="both"/>
        <w:rPr>
          <w:color w:val="000000"/>
          <w:szCs w:val="20"/>
          <w:lang w:val="en-US"/>
        </w:rPr>
      </w:pPr>
      <w:r>
        <w:rPr>
          <w:color w:val="000000"/>
          <w:szCs w:val="20"/>
          <w:lang w:val="en-US"/>
        </w:rPr>
        <w:t>Update of the "Financing Memorandum for Arcos CCGT".</w:t>
      </w:r>
    </w:p>
    <w:p>
      <w:pPr>
        <w:pStyle w:val="Normal"/>
        <w:numPr>
          <w:ilvl w:val="0"/>
          <w:numId w:val="9"/>
        </w:numPr>
        <w:autoSpaceDE w:val="false"/>
        <w:jc w:val="both"/>
        <w:rPr>
          <w:color w:val="000000"/>
          <w:szCs w:val="20"/>
          <w:lang w:val="en-US"/>
        </w:rPr>
      </w:pPr>
      <w:r>
        <w:rPr>
          <w:color w:val="000000"/>
          <w:szCs w:val="20"/>
          <w:lang w:val="en-US"/>
        </w:rPr>
        <w:t>New authorisations for import/export of electricity into Spain coming from France, Portugal, Morocco. Communication to the Ministry, Market Operator and System Operator of the non-economic conditions.</w:t>
      </w:r>
    </w:p>
    <w:p>
      <w:pPr>
        <w:pStyle w:val="Normal"/>
        <w:numPr>
          <w:ilvl w:val="0"/>
          <w:numId w:val="9"/>
        </w:numPr>
        <w:autoSpaceDE w:val="false"/>
        <w:jc w:val="both"/>
        <w:rPr>
          <w:color w:val="000000"/>
          <w:szCs w:val="20"/>
          <w:lang w:val="en-US"/>
        </w:rPr>
      </w:pPr>
      <w:r>
        <w:rPr>
          <w:color w:val="000000"/>
          <w:szCs w:val="20"/>
          <w:lang w:val="en-US"/>
        </w:rPr>
        <w:t>Debt/Equity for Arcos (coordination with U&amp;M).</w:t>
      </w:r>
    </w:p>
    <w:p>
      <w:pPr>
        <w:pStyle w:val="BodyText"/>
        <w:numPr>
          <w:ilvl w:val="0"/>
          <w:numId w:val="9"/>
        </w:numPr>
        <w:jc w:val="both"/>
        <w:rPr>
          <w:rFonts w:ascii="Times New Roman" w:hAnsi="Times New Roman" w:cs="Times New Roman"/>
          <w:sz w:val="24"/>
        </w:rPr>
      </w:pPr>
      <w:r>
        <w:rPr>
          <w:rFonts w:cs="Times New Roman" w:ascii="Times New Roman" w:hAnsi="Times New Roman"/>
          <w:sz w:val="24"/>
        </w:rPr>
        <w:t>Research about the current state of</w:t>
      </w:r>
      <w:r>
        <w:rPr>
          <w:rFonts w:cs="Times New Roman" w:ascii="Times New Roman" w:hAnsi="Times New Roman"/>
          <w:sz w:val="24"/>
          <w:lang w:val="en-GB"/>
        </w:rPr>
        <w:t xml:space="preserve"> liberalisation</w:t>
      </w:r>
      <w:r>
        <w:rPr>
          <w:rFonts w:cs="Times New Roman" w:ascii="Times New Roman" w:hAnsi="Times New Roman"/>
          <w:sz w:val="24"/>
        </w:rPr>
        <w:t xml:space="preserve"> in the Canary Islands </w:t>
      </w:r>
      <w:r>
        <w:rPr>
          <w:rFonts w:eastAsia="Wingdings" w:cs="Wingdings" w:ascii="Wingdings" w:hAnsi="Wingdings"/>
          <w:sz w:val="24"/>
        </w:rPr>
        <w:sym w:font="Wingdings" w:char="f0e0"/>
      </w:r>
      <w:r>
        <w:rPr>
          <w:rFonts w:cs="Times New Roman" w:ascii="Times New Roman" w:hAnsi="Times New Roman"/>
          <w:sz w:val="24"/>
        </w:rPr>
        <w:t xml:space="preserve"> Retailing and eligible consumers</w:t>
      </w:r>
    </w:p>
    <w:p>
      <w:pPr>
        <w:pStyle w:val="BodyText"/>
        <w:jc w:val="both"/>
        <w:rPr>
          <w:rFonts w:ascii="Times New Roman" w:hAnsi="Times New Roman" w:cs="Times New Roman"/>
          <w:sz w:val="24"/>
        </w:rPr>
      </w:pPr>
      <w:r>
        <w:rPr>
          <w:rFonts w:cs="Times New Roman" w:ascii="Times New Roman" w:hAnsi="Times New Roman"/>
          <w:sz w:val="24"/>
        </w:rPr>
      </w:r>
    </w:p>
    <w:p>
      <w:pPr>
        <w:pStyle w:val="BodyText"/>
        <w:jc w:val="both"/>
        <w:rPr>
          <w:rFonts w:ascii="Times New Roman" w:hAnsi="Times New Roman" w:cs="Times New Roman"/>
          <w:b/>
          <w:bCs/>
          <w:sz w:val="28"/>
        </w:rPr>
      </w:pPr>
      <w:r>
        <w:rPr>
          <w:rFonts w:cs="Times New Roman" w:ascii="Times New Roman" w:hAnsi="Times New Roman"/>
          <w:b/>
          <w:bCs/>
          <w:sz w:val="28"/>
        </w:rPr>
        <w:t>Jan Haizmann</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BodyText"/>
        <w:jc w:val="both"/>
        <w:rPr>
          <w:rFonts w:ascii="Times New Roman" w:hAnsi="Times New Roman" w:cs="Times New Roman"/>
          <w:b/>
          <w:bCs/>
          <w:sz w:val="28"/>
        </w:rPr>
      </w:pPr>
      <w:r>
        <w:rPr>
          <w:rFonts w:cs="Times New Roman" w:ascii="Times New Roman" w:hAnsi="Times New Roman"/>
          <w:b/>
          <w:bCs/>
          <w:sz w:val="28"/>
        </w:rPr>
        <w:t>Paul Hennemeyer</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BodyText"/>
        <w:jc w:val="both"/>
        <w:rPr>
          <w:rFonts w:ascii="Times New Roman" w:hAnsi="Times New Roman" w:cs="Times New Roman"/>
          <w:sz w:val="24"/>
        </w:rPr>
      </w:pPr>
      <w:r>
        <w:rPr>
          <w:rFonts w:cs="Times New Roman" w:ascii="Times New Roman" w:hAnsi="Times New Roman"/>
          <w:sz w:val="24"/>
        </w:rPr>
        <w:t>Nothing to report.</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BodyText"/>
        <w:jc w:val="both"/>
        <w:rPr>
          <w:rFonts w:ascii="Times New Roman" w:hAnsi="Times New Roman" w:cs="Times New Roman"/>
          <w:b/>
          <w:bCs/>
          <w:sz w:val="28"/>
        </w:rPr>
      </w:pPr>
      <w:r>
        <w:rPr>
          <w:rFonts w:cs="Times New Roman" w:ascii="Times New Roman" w:hAnsi="Times New Roman"/>
          <w:b/>
          <w:bCs/>
          <w:sz w:val="28"/>
        </w:rPr>
        <w:t>Alfredo Huertas</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Normal"/>
        <w:numPr>
          <w:ilvl w:val="0"/>
          <w:numId w:val="3"/>
        </w:numPr>
        <w:autoSpaceDE w:val="false"/>
        <w:jc w:val="both"/>
        <w:rPr>
          <w:szCs w:val="20"/>
          <w:lang w:val="en-US"/>
        </w:rPr>
      </w:pPr>
      <w:r>
        <w:rPr>
          <w:szCs w:val="20"/>
          <w:lang w:val="en-US"/>
        </w:rPr>
        <w:t>Arcos TPA. CNE's resolution has not been officially released yet. Off-the-record, they have confirmed the lack of capacity on the date initially requested by Enron (October 2002), and they are still insisting on the need for the parties to negotiate an alternative date (2Q 2004, as advanced by Enagas), though it seems there are not suggesting/setting any "rules of the game" for reaching an agreement.</w:t>
      </w:r>
    </w:p>
    <w:p>
      <w:pPr>
        <w:pStyle w:val="Normal"/>
        <w:autoSpaceDE w:val="false"/>
        <w:jc w:val="both"/>
        <w:rPr>
          <w:szCs w:val="20"/>
          <w:lang w:val="en-US"/>
        </w:rPr>
      </w:pPr>
      <w:r>
        <w:rPr>
          <w:szCs w:val="20"/>
          <w:lang w:val="en-US"/>
        </w:rPr>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Debt/Equity Ratio. New submission of the request to remove the original debt/equity condition on the license for the construction of Arcos, that imposed a minimum of 10% of equity and 20% of equity + subdebt. The Ministry of Economy has given us verbal assurances about the feasibility of this removal, and an adaptation of the license to our preferred financial structure.</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BodyText"/>
        <w:jc w:val="both"/>
        <w:rPr>
          <w:rFonts w:ascii="Times New Roman" w:hAnsi="Times New Roman" w:cs="Times New Roman"/>
          <w:b/>
          <w:bCs/>
          <w:sz w:val="28"/>
        </w:rPr>
      </w:pPr>
      <w:r>
        <w:rPr>
          <w:rFonts w:cs="Times New Roman" w:ascii="Times New Roman" w:hAnsi="Times New Roman"/>
          <w:b/>
          <w:bCs/>
          <w:sz w:val="28"/>
        </w:rPr>
        <w:t>Mustafa Hussain</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Normal"/>
        <w:numPr>
          <w:ilvl w:val="0"/>
          <w:numId w:val="10"/>
        </w:numPr>
        <w:autoSpaceDE w:val="false"/>
        <w:ind w:hanging="380" w:start="380" w:end="0"/>
        <w:jc w:val="both"/>
        <w:rPr>
          <w:szCs w:val="20"/>
          <w:lang w:val="en-US"/>
        </w:rPr>
      </w:pPr>
      <w:r>
        <w:rPr>
          <w:szCs w:val="20"/>
          <w:lang w:val="en-US"/>
        </w:rPr>
        <w:t>I've been working on preparations for an internal contractual/legal meeting relating to the legislative changes due to effect us from August at Teesside.</w:t>
      </w:r>
    </w:p>
    <w:p>
      <w:pPr>
        <w:pStyle w:val="BodyText"/>
        <w:numPr>
          <w:ilvl w:val="0"/>
          <w:numId w:val="10"/>
        </w:numPr>
        <w:ind w:hanging="380" w:start="380" w:end="0"/>
        <w:jc w:val="both"/>
        <w:rPr>
          <w:rFonts w:ascii="Times New Roman" w:hAnsi="Times New Roman" w:cs="Times New Roman"/>
          <w:sz w:val="24"/>
        </w:rPr>
      </w:pPr>
      <w:r>
        <w:rPr>
          <w:rFonts w:cs="Times New Roman" w:ascii="Times New Roman" w:hAnsi="Times New Roman"/>
          <w:sz w:val="24"/>
        </w:rPr>
        <w:t>Have been researching a couple of policy issues facing Enron Direct.</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BodyText"/>
        <w:jc w:val="both"/>
        <w:rPr>
          <w:rFonts w:ascii="Times New Roman" w:hAnsi="Times New Roman" w:cs="Times New Roman"/>
          <w:b/>
          <w:bCs/>
          <w:sz w:val="28"/>
        </w:rPr>
      </w:pPr>
      <w:r>
        <w:rPr>
          <w:rFonts w:cs="Times New Roman" w:ascii="Times New Roman" w:hAnsi="Times New Roman"/>
          <w:b/>
          <w:bCs/>
          <w:sz w:val="28"/>
        </w:rPr>
        <w:t>Kerryann Irwin</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BodyText"/>
        <w:jc w:val="both"/>
        <w:rPr>
          <w:rFonts w:ascii="Times New Roman" w:hAnsi="Times New Roman" w:cs="Times New Roman"/>
          <w:b/>
          <w:bCs/>
          <w:sz w:val="28"/>
        </w:rPr>
      </w:pPr>
      <w:r>
        <w:rPr>
          <w:rFonts w:cs="Times New Roman" w:ascii="Times New Roman" w:hAnsi="Times New Roman"/>
          <w:b/>
          <w:bCs/>
          <w:sz w:val="28"/>
        </w:rPr>
        <w:t>Amber Keenan</w:t>
      </w:r>
    </w:p>
    <w:p>
      <w:pPr>
        <w:pStyle w:val="BodyText"/>
        <w:jc w:val="both"/>
        <w:rPr>
          <w:rFonts w:ascii="Times New Roman" w:hAnsi="Times New Roman" w:cs="Times New Roman"/>
          <w:b/>
          <w:bCs/>
          <w:sz w:val="24"/>
        </w:rPr>
      </w:pPr>
      <w:r>
        <w:rPr>
          <w:rFonts w:cs="Times New Roman" w:ascii="Times New Roman" w:hAnsi="Times New Roman"/>
          <w:b/>
          <w:bCs/>
          <w:sz w:val="24"/>
        </w:rPr>
      </w:r>
    </w:p>
    <w:p>
      <w:pPr>
        <w:pStyle w:val="BodyText"/>
        <w:numPr>
          <w:ilvl w:val="0"/>
          <w:numId w:val="7"/>
        </w:numPr>
        <w:jc w:val="both"/>
        <w:rPr>
          <w:rFonts w:ascii="Times New Roman" w:hAnsi="Times New Roman" w:cs="Times New Roman"/>
          <w:sz w:val="24"/>
        </w:rPr>
      </w:pPr>
      <w:r>
        <w:rPr>
          <w:rFonts w:cs="Times New Roman" w:ascii="Times New Roman" w:hAnsi="Times New Roman"/>
          <w:sz w:val="24"/>
        </w:rPr>
        <w:t xml:space="preserve">Outlook 2000 migration </w:t>
      </w:r>
      <w:r>
        <w:rPr>
          <w:rFonts w:eastAsia="Wingdings" w:cs="Wingdings" w:ascii="Wingdings" w:hAnsi="Wingdings"/>
          <w:sz w:val="24"/>
        </w:rPr>
        <w:sym w:font="Wingdings" w:char="f0e0"/>
      </w:r>
      <w:r>
        <w:rPr>
          <w:rFonts w:cs="Times New Roman" w:ascii="Times New Roman" w:hAnsi="Times New Roman"/>
          <w:sz w:val="24"/>
        </w:rPr>
        <w:t xml:space="preserve"> complete (except Brussels office)</w:t>
      </w:r>
    </w:p>
    <w:p>
      <w:pPr>
        <w:pStyle w:val="BodyText"/>
        <w:ind w:start="720" w:end="0"/>
        <w:jc w:val="both"/>
        <w:rPr/>
      </w:pPr>
      <w:r>
        <w:rPr>
          <w:rFonts w:eastAsia="Wingdings" w:cs="Wingdings" w:ascii="Wingdings" w:hAnsi="Wingdings"/>
          <w:sz w:val="24"/>
        </w:rPr>
        <w:sym w:font="Wingdings" w:char="f0e0"/>
      </w:r>
      <w:r>
        <w:rPr>
          <w:rFonts w:cs="Times New Roman" w:ascii="Times New Roman" w:hAnsi="Times New Roman"/>
          <w:sz w:val="24"/>
        </w:rPr>
        <w:t xml:space="preserve"> </w:t>
      </w:r>
      <w:r>
        <w:rPr>
          <w:rFonts w:cs="Times New Roman" w:ascii="Times New Roman" w:hAnsi="Times New Roman"/>
          <w:sz w:val="24"/>
        </w:rPr>
        <w:t>shall I have a trainer attend next staff meeting to answer questions?</w:t>
      </w:r>
    </w:p>
    <w:p>
      <w:pPr>
        <w:pStyle w:val="BodyText"/>
        <w:numPr>
          <w:ilvl w:val="0"/>
          <w:numId w:val="7"/>
        </w:numPr>
        <w:jc w:val="both"/>
        <w:rPr>
          <w:rFonts w:ascii="Times New Roman" w:hAnsi="Times New Roman" w:cs="Times New Roman"/>
          <w:sz w:val="24"/>
        </w:rPr>
      </w:pPr>
      <w:r>
        <w:rPr>
          <w:rFonts w:cs="Times New Roman" w:ascii="Times New Roman" w:hAnsi="Times New Roman"/>
          <w:sz w:val="24"/>
        </w:rPr>
        <w:t xml:space="preserve">information management </w:t>
      </w:r>
      <w:r>
        <w:rPr>
          <w:rFonts w:eastAsia="Wingdings" w:cs="Wingdings" w:ascii="Wingdings" w:hAnsi="Wingdings"/>
          <w:sz w:val="24"/>
        </w:rPr>
        <w:sym w:font="Wingdings" w:char="f0e0"/>
      </w:r>
      <w:r>
        <w:rPr>
          <w:rFonts w:cs="Times New Roman" w:ascii="Times New Roman" w:hAnsi="Times New Roman"/>
          <w:sz w:val="24"/>
        </w:rPr>
        <w:t xml:space="preserve"> please start/continue to throw out &amp; archive </w:t>
      </w:r>
    </w:p>
    <w:p>
      <w:pPr>
        <w:pStyle w:val="BodyText"/>
        <w:ind w:start="720" w:end="0"/>
        <w:jc w:val="both"/>
        <w:rPr/>
      </w:pPr>
      <w:r>
        <w:rPr>
          <w:rFonts w:eastAsia="Wingdings" w:cs="Wingdings" w:ascii="Wingdings" w:hAnsi="Wingdings"/>
          <w:sz w:val="24"/>
        </w:rPr>
        <w:sym w:font="Wingdings" w:char="f0e0"/>
      </w:r>
      <w:r>
        <w:rPr>
          <w:rFonts w:cs="Times New Roman" w:ascii="Times New Roman" w:hAnsi="Times New Roman"/>
          <w:sz w:val="24"/>
        </w:rPr>
        <w:t xml:space="preserve"> </w:t>
      </w:r>
      <w:r>
        <w:rPr>
          <w:rFonts w:cs="Times New Roman" w:ascii="Times New Roman" w:hAnsi="Times New Roman"/>
          <w:sz w:val="24"/>
        </w:rPr>
        <w:t>Joanna Shacklock from Documentation will meet with each of you briefly in the following weeks in order to establish the best way for our dept. to centrally store and manage (in hard copy &amp; electronically) our information resources.</w:t>
      </w:r>
    </w:p>
    <w:p>
      <w:pPr>
        <w:pStyle w:val="BodyText"/>
        <w:numPr>
          <w:ilvl w:val="0"/>
          <w:numId w:val="7"/>
        </w:numPr>
        <w:jc w:val="both"/>
        <w:rPr>
          <w:rFonts w:ascii="Times New Roman" w:hAnsi="Times New Roman" w:cs="Times New Roman"/>
          <w:sz w:val="24"/>
        </w:rPr>
      </w:pPr>
      <w:r>
        <w:rPr>
          <w:rFonts w:cs="Times New Roman" w:ascii="Times New Roman" w:hAnsi="Times New Roman"/>
          <w:sz w:val="24"/>
        </w:rPr>
        <w:t xml:space="preserve">off-site </w:t>
      </w:r>
      <w:r>
        <w:rPr>
          <w:rFonts w:eastAsia="Wingdings" w:cs="Wingdings" w:ascii="Wingdings" w:hAnsi="Wingdings"/>
          <w:sz w:val="24"/>
        </w:rPr>
        <w:sym w:font="Wingdings" w:char="f0e0"/>
      </w:r>
      <w:r>
        <w:rPr>
          <w:rFonts w:cs="Times New Roman" w:ascii="Times New Roman" w:hAnsi="Times New Roman"/>
          <w:sz w:val="24"/>
        </w:rPr>
        <w:t xml:space="preserve"> pm Thursday 12 July to pm Saturday 14 July.</w:t>
      </w:r>
    </w:p>
    <w:p>
      <w:pPr>
        <w:pStyle w:val="BodyText"/>
        <w:ind w:start="1440" w:end="0"/>
        <w:jc w:val="both"/>
        <w:rPr/>
      </w:pPr>
      <w:r>
        <w:rPr>
          <w:rFonts w:eastAsia="Wingdings" w:cs="Wingdings" w:ascii="Wingdings" w:hAnsi="Wingdings"/>
          <w:sz w:val="24"/>
        </w:rPr>
        <w:sym w:font="Wingdings" w:char="f0e0"/>
      </w:r>
      <w:r>
        <w:rPr>
          <w:rFonts w:cs="Times New Roman" w:ascii="Times New Roman" w:hAnsi="Times New Roman"/>
          <w:sz w:val="24"/>
        </w:rPr>
        <w:t xml:space="preserve"> </w:t>
      </w:r>
      <w:r>
        <w:rPr>
          <w:rFonts w:cs="Times New Roman" w:ascii="Times New Roman" w:hAnsi="Times New Roman"/>
          <w:sz w:val="24"/>
        </w:rPr>
        <w:t>venue &amp; additional details TBC.</w:t>
      </w:r>
    </w:p>
    <w:p>
      <w:pPr>
        <w:pStyle w:val="BodyText"/>
        <w:numPr>
          <w:ilvl w:val="0"/>
          <w:numId w:val="7"/>
        </w:numPr>
        <w:jc w:val="both"/>
        <w:rPr>
          <w:rFonts w:ascii="Times New Roman" w:hAnsi="Times New Roman" w:cs="Times New Roman"/>
          <w:sz w:val="24"/>
        </w:rPr>
      </w:pPr>
      <w:r>
        <w:rPr>
          <w:rFonts w:cs="Times New Roman" w:ascii="Times New Roman" w:hAnsi="Times New Roman"/>
          <w:sz w:val="24"/>
        </w:rPr>
        <w:t xml:space="preserve">desk moves </w:t>
      </w:r>
      <w:r>
        <w:rPr>
          <w:rFonts w:eastAsia="Wingdings" w:cs="Wingdings" w:ascii="Wingdings" w:hAnsi="Wingdings"/>
          <w:sz w:val="24"/>
        </w:rPr>
        <w:sym w:font="Wingdings" w:char="f0e0"/>
      </w:r>
      <w:r>
        <w:rPr>
          <w:rFonts w:cs="Times New Roman" w:ascii="Times New Roman" w:hAnsi="Times New Roman"/>
          <w:sz w:val="24"/>
        </w:rPr>
        <w:t xml:space="preserve"> date TBC but probably weekend of 9 &amp; 10 June.</w:t>
      </w:r>
    </w:p>
    <w:p>
      <w:pPr>
        <w:pStyle w:val="BodyText"/>
        <w:ind w:start="360" w:end="0"/>
        <w:jc w:val="both"/>
        <w:rPr>
          <w:rFonts w:ascii="Times New Roman" w:hAnsi="Times New Roman" w:cs="Times New Roman"/>
          <w:sz w:val="24"/>
        </w:rPr>
      </w:pPr>
      <w:r>
        <w:rPr>
          <w:rFonts w:cs="Times New Roman" w:ascii="Times New Roman" w:hAnsi="Times New Roman"/>
          <w:sz w:val="24"/>
        </w:rPr>
      </w:r>
    </w:p>
    <w:p>
      <w:pPr>
        <w:pStyle w:val="BodyText"/>
        <w:jc w:val="both"/>
        <w:rPr>
          <w:rFonts w:ascii="Times New Roman" w:hAnsi="Times New Roman" w:cs="Times New Roman"/>
          <w:b/>
          <w:bCs/>
          <w:sz w:val="28"/>
        </w:rPr>
      </w:pPr>
      <w:r>
        <w:rPr>
          <w:rFonts w:cs="Times New Roman" w:ascii="Times New Roman" w:hAnsi="Times New Roman"/>
          <w:b/>
          <w:bCs/>
          <w:sz w:val="28"/>
        </w:rPr>
        <w:t>Peter Styles</w:t>
      </w:r>
    </w:p>
    <w:p>
      <w:pPr>
        <w:pStyle w:val="BodyText"/>
        <w:jc w:val="both"/>
        <w:rPr>
          <w:rFonts w:ascii="Times New Roman" w:hAnsi="Times New Roman" w:cs="Times New Roman"/>
          <w:b/>
          <w:bCs/>
          <w:sz w:val="24"/>
        </w:rPr>
      </w:pPr>
      <w:r>
        <w:rPr>
          <w:rFonts w:cs="Times New Roman" w:ascii="Times New Roman" w:hAnsi="Times New Roman"/>
          <w:b/>
          <w:bCs/>
          <w:sz w:val="24"/>
        </w:rPr>
      </w:r>
    </w:p>
    <w:p>
      <w:pPr>
        <w:pStyle w:val="BodyText"/>
        <w:jc w:val="both"/>
        <w:rPr>
          <w:rFonts w:ascii="Times New Roman" w:hAnsi="Times New Roman" w:cs="Times New Roman"/>
          <w:b/>
          <w:bCs/>
          <w:sz w:val="28"/>
        </w:rPr>
      </w:pPr>
      <w:r>
        <w:rPr>
          <w:rFonts w:cs="Times New Roman" w:ascii="Times New Roman" w:hAnsi="Times New Roman"/>
          <w:b/>
          <w:bCs/>
          <w:sz w:val="28"/>
        </w:rPr>
        <w:t>Teun van Biert</w:t>
      </w:r>
    </w:p>
    <w:p>
      <w:pPr>
        <w:pStyle w:val="BodyText"/>
        <w:jc w:val="both"/>
        <w:rPr>
          <w:rFonts w:ascii="Times New Roman" w:hAnsi="Times New Roman" w:cs="Times New Roman"/>
          <w:b/>
          <w:bCs/>
          <w:sz w:val="24"/>
        </w:rPr>
      </w:pPr>
      <w:r>
        <w:rPr>
          <w:rFonts w:cs="Times New Roman" w:ascii="Times New Roman" w:hAnsi="Times New Roman"/>
          <w:b/>
          <w:bCs/>
          <w:sz w:val="24"/>
        </w:rPr>
      </w:r>
    </w:p>
    <w:p>
      <w:pPr>
        <w:pStyle w:val="BodyText"/>
        <w:jc w:val="both"/>
        <w:rPr>
          <w:rFonts w:ascii="Times New Roman" w:hAnsi="Times New Roman" w:cs="Times New Roman"/>
          <w:b/>
          <w:bCs/>
          <w:sz w:val="28"/>
        </w:rPr>
      </w:pPr>
      <w:r>
        <w:rPr>
          <w:rFonts w:cs="Times New Roman" w:ascii="Times New Roman" w:hAnsi="Times New Roman"/>
          <w:b/>
          <w:bCs/>
          <w:sz w:val="28"/>
        </w:rPr>
        <w:t>Doug Wood</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BodyText"/>
        <w:jc w:val="both"/>
        <w:rPr>
          <w:rFonts w:ascii="Times New Roman" w:hAnsi="Times New Roman" w:cs="Times New Roman"/>
          <w:b/>
          <w:bCs/>
          <w:sz w:val="28"/>
        </w:rPr>
      </w:pPr>
      <w:r>
        <w:rPr>
          <w:rFonts w:cs="Times New Roman" w:ascii="Times New Roman" w:hAnsi="Times New Roman"/>
          <w:b/>
          <w:bCs/>
          <w:sz w:val="28"/>
        </w:rPr>
        <w:t>Xi-Xi</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BodyText"/>
        <w:jc w:val="both"/>
        <w:rPr>
          <w:rFonts w:ascii="Times New Roman" w:hAnsi="Times New Roman" w:cs="Times New Roman"/>
          <w:b/>
          <w:bCs/>
          <w:sz w:val="24"/>
        </w:rPr>
      </w:pPr>
      <w:r>
        <w:rPr>
          <w:rFonts w:cs="Times New Roman" w:ascii="Times New Roman" w:hAnsi="Times New Roman"/>
          <w:b/>
          <w:bCs/>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numFmt w:val="bullet"/>
      <w:lvlText w:val=""/>
      <w:lvlJc w:val="start"/>
      <w:pPr>
        <w:tabs>
          <w:tab w:val="num" w:pos="0"/>
        </w:tabs>
        <w:ind w:start="0" w:hanging="0"/>
      </w:pPr>
      <w:rPr>
        <w:rFonts w:ascii="Symbol" w:hAnsi="Symbol" w:cs="Symbol" w:hint="default"/>
      </w:rPr>
    </w:lvl>
  </w:abstractNum>
  <w:abstractNum w:abstractNumId="6">
    <w:lvl w:ilvl="0">
      <w:numFmt w:val="bullet"/>
      <w:lvlText w:val=""/>
      <w:lvlJc w:val="start"/>
      <w:pPr>
        <w:tabs>
          <w:tab w:val="num" w:pos="0"/>
        </w:tabs>
        <w:ind w:start="0" w:hanging="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autoSpaceDE w:val="false"/>
      <w:outlineLvl w:val="0"/>
    </w:pPr>
    <w:rPr>
      <w:b/>
      <w:bCs/>
      <w:color w:val="000000"/>
      <w:szCs w:val="20"/>
      <w:lang w:val="en-US"/>
    </w:rPr>
  </w:style>
  <w:style w:type="paragraph" w:styleId="Heading2">
    <w:name w:val="heading 2"/>
    <w:basedOn w:val="Normal"/>
    <w:next w:val="Normal"/>
    <w:qFormat/>
    <w:pPr>
      <w:keepNext w:val="true"/>
      <w:numPr>
        <w:ilvl w:val="1"/>
        <w:numId w:val="1"/>
      </w:numPr>
      <w:autoSpaceDE w:val="false"/>
      <w:jc w:val="both"/>
      <w:outlineLvl w:val="1"/>
    </w:pPr>
    <w:rPr>
      <w:b/>
      <w:bCs/>
      <w:color w:val="000000"/>
      <w:szCs w:val="20"/>
      <w:lang w:val="en-US"/>
    </w:rPr>
  </w:style>
  <w:style w:type="paragraph" w:styleId="Heading3">
    <w:name w:val="heading 3"/>
    <w:basedOn w:val="Normal"/>
    <w:next w:val="Normal"/>
    <w:qFormat/>
    <w:pPr>
      <w:keepNext w:val="true"/>
      <w:numPr>
        <w:ilvl w:val="2"/>
        <w:numId w:val="1"/>
      </w:numPr>
      <w:autoSpaceDE w:val="false"/>
      <w:jc w:val="both"/>
      <w:outlineLvl w:val="2"/>
    </w:pPr>
    <w:rPr>
      <w:i/>
      <w:iCs/>
      <w:color w:val="000000"/>
      <w:szCs w:val="20"/>
      <w:lang w:val="en-US"/>
    </w:rPr>
  </w:style>
  <w:style w:type="paragraph" w:styleId="Heading4">
    <w:name w:val="heading 4"/>
    <w:basedOn w:val="Normal"/>
    <w:next w:val="Normal"/>
    <w:qFormat/>
    <w:pPr>
      <w:keepNext w:val="true"/>
      <w:numPr>
        <w:ilvl w:val="3"/>
        <w:numId w:val="1"/>
      </w:numPr>
      <w:autoSpaceDE w:val="false"/>
      <w:jc w:val="both"/>
      <w:outlineLvl w:val="3"/>
    </w:pPr>
    <w:rPr>
      <w:b/>
      <w:bCs/>
      <w:color w:val="000000"/>
      <w:sz w:val="28"/>
      <w:szCs w:val="20"/>
      <w:lang w:val="en-U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St4z0">
    <w:name w:val="WW8NumSt4z0"/>
    <w:qFormat/>
    <w:rPr>
      <w:rFonts w:ascii="Symbol" w:hAnsi="Symbol" w:cs="Symbol"/>
    </w:rPr>
  </w:style>
  <w:style w:type="character" w:styleId="WW8NumSt4z1">
    <w:name w:val="WW8NumSt4z1"/>
    <w:qFormat/>
    <w:rPr>
      <w:rFonts w:ascii="Courier New" w:hAnsi="Courier New" w:cs="Courier New"/>
    </w:rPr>
  </w:style>
  <w:style w:type="character" w:styleId="WW8NumSt4z2">
    <w:name w:val="WW8NumSt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rFonts w:ascii="Arial" w:hAnsi="Arial" w:cs="Arial"/>
      <w:color w:val="000000"/>
      <w:sz w:val="20"/>
      <w:szCs w:val="20"/>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360" w:end="0"/>
      <w:jc w:val="both"/>
    </w:pPr>
    <w:rPr>
      <w:color w:val="000000"/>
      <w:szCs w:val="20"/>
      <w:lang w:val="en-US"/>
    </w:rPr>
  </w:style>
  <w:style w:type="paragraph" w:styleId="BodyText2">
    <w:name w:val="Body Text 2"/>
    <w:basedOn w:val="Normal"/>
    <w:qFormat/>
    <w:pPr>
      <w:autoSpaceDE w:val="false"/>
    </w:pPr>
    <w:rPr>
      <w:color w:val="000000"/>
      <w:szCs w:val="20"/>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2001-05-18T16:53:00Z</dcterms:created>
  <dc:creator>akeenan</dc:creator>
  <dc:description/>
  <dc:language>en-CA</dc:language>
  <cp:lastModifiedBy>akeenan</cp:lastModifiedBy>
  <dcterms:modified xsi:type="dcterms:W3CDTF">2001-05-21T08:44:00Z</dcterms:modified>
  <cp:revision>16</cp:revision>
  <dc:subject/>
  <dc:title>Government Affairs Staff Meeting, Monday 21 May 2001</dc:title>
</cp:coreProperties>
</file>