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-228600</wp:posOffset>
                </wp:positionV>
                <wp:extent cx="5143500" cy="914400"/>
                <wp:effectExtent l="14605" t="14605" r="14605" b="14605"/>
                <wp:wrapNone/>
                <wp:docPr id="1" name=""/>
                <a:graphic xmlns:a="http://schemas.openxmlformats.org/drawingml/2006/main">
                  <a:graphicData uri="http://schemas.microsoft.com/office/word/2010/wordprocessingShape">
                    <wps:wsp>
                      <wps:cNvSpPr/>
                      <wps:spPr>
                        <a:xfrm>
                          <a:off x="0" y="0"/>
                          <a:ext cx="5143680" cy="914400"/>
                        </a:xfrm>
                        <a:prstGeom prst="rect">
                          <a:avLst/>
                        </a:prstGeom>
                        <a:noFill/>
                        <a:ln w="284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8pt;margin-top:-18pt;width:404.95pt;height:71.95pt;mso-wrap-style:none;v-text-anchor:middle">
                <v:fill o:detectmouseclick="t" on="false"/>
                <v:stroke color="black" weight="28440" joinstyle="miter" endcap="flat"/>
                <w10:wrap type="none"/>
              </v:rect>
            </w:pict>
          </mc:Fallback>
        </mc:AlternateContent>
      </w:r>
      <w:r>
        <w:rPr>
          <w:b/>
          <w:bCs/>
          <w:sz w:val="32"/>
        </w:rPr>
        <w:t>Government &amp; Regulatory Affairs Team Mtg.</w:t>
      </w:r>
    </w:p>
    <w:p>
      <w:pPr>
        <w:pStyle w:val="Normal"/>
        <w:jc w:val="center"/>
        <w:rPr>
          <w:b/>
          <w:bCs/>
          <w:sz w:val="32"/>
        </w:rPr>
      </w:pPr>
      <w:r>
        <w:rPr>
          <w:b/>
          <w:bCs/>
          <w:sz w:val="32"/>
        </w:rPr>
        <w:t>Held on 24/09/01</w:t>
      </w:r>
    </w:p>
    <w:p>
      <w:pPr>
        <w:pStyle w:val="Normal"/>
        <w:rPr/>
      </w:pPr>
      <w:r>
        <w:rPr/>
      </w:r>
    </w:p>
    <w:p>
      <w:pPr>
        <w:pStyle w:val="Normal"/>
        <w:rPr/>
      </w:pPr>
      <w:r>
        <w:rPr/>
      </w:r>
    </w:p>
    <w:p>
      <w:pPr>
        <w:pStyle w:val="Normal"/>
        <w:rPr/>
      </w:pPr>
      <w:r>
        <w:rPr/>
      </w:r>
    </w:p>
    <w:p>
      <w:pPr>
        <w:pStyle w:val="Heading1"/>
        <w:ind w:hanging="0" w:start="0"/>
        <w:rPr>
          <w:b/>
          <w:bCs/>
          <w:sz w:val="32"/>
          <w:u w:val="none"/>
        </w:rPr>
      </w:pPr>
      <w:r>
        <w:rPr>
          <w:b/>
          <w:bCs/>
          <w:sz w:val="32"/>
        </w:rPr>
        <w:t>UK</w:t>
      </w:r>
    </w:p>
    <w:p>
      <w:pPr>
        <w:pStyle w:val="Normal"/>
        <w:rPr>
          <w:b/>
          <w:bCs/>
          <w:sz w:val="32"/>
          <w:u w:val="none"/>
        </w:rPr>
      </w:pPr>
      <w:r>
        <w:rPr>
          <w:b/>
          <w:bCs/>
          <w:sz w:val="32"/>
          <w:u w:val="none"/>
        </w:rPr>
      </w:r>
    </w:p>
    <w:p>
      <w:pPr>
        <w:pStyle w:val="Normal"/>
        <w:numPr>
          <w:ilvl w:val="0"/>
          <w:numId w:val="3"/>
        </w:numPr>
        <w:rPr>
          <w:sz w:val="28"/>
        </w:rPr>
      </w:pPr>
      <w:r>
        <w:rPr>
          <w:b/>
          <w:bCs/>
          <w:sz w:val="28"/>
        </w:rPr>
        <w:t>Paul Dawson:</w:t>
      </w:r>
    </w:p>
    <w:p>
      <w:pPr>
        <w:pStyle w:val="Normal"/>
        <w:rPr>
          <w:sz w:val="28"/>
        </w:rPr>
      </w:pPr>
      <w:r>
        <w:rPr>
          <w:sz w:val="28"/>
        </w:rPr>
      </w:r>
    </w:p>
    <w:p>
      <w:pPr>
        <w:pStyle w:val="Normal"/>
        <w:rPr/>
      </w:pPr>
      <w:r>
        <w:rPr/>
      </w:r>
    </w:p>
    <w:p>
      <w:pPr>
        <w:pStyle w:val="Normal"/>
        <w:rPr/>
      </w:pPr>
      <w:r>
        <w:rPr/>
      </w:r>
    </w:p>
    <w:p>
      <w:pPr>
        <w:pStyle w:val="Normal"/>
        <w:numPr>
          <w:ilvl w:val="0"/>
          <w:numId w:val="3"/>
        </w:numPr>
        <w:rPr>
          <w:sz w:val="28"/>
        </w:rPr>
      </w:pPr>
      <w:r>
        <w:rPr>
          <w:b/>
          <w:bCs/>
          <w:sz w:val="28"/>
        </w:rPr>
        <w:t>Nick Elms:</w:t>
      </w:r>
    </w:p>
    <w:p>
      <w:pPr>
        <w:pStyle w:val="Normal"/>
        <w:numPr>
          <w:ilvl w:val="0"/>
          <w:numId w:val="3"/>
        </w:numPr>
        <w:spacing w:before="0" w:after="120"/>
        <w:rPr/>
      </w:pPr>
      <w:r>
        <w:rPr/>
        <w:t>Balancing &amp; Settlement Code (BSC) Mod P37: Retrospective correction of notification errors.  London Elec. is trying to claw back a £7.5m notification error.  EEL supports and a response is due 26/9.</w:t>
      </w:r>
    </w:p>
    <w:p>
      <w:pPr>
        <w:pStyle w:val="Normal"/>
        <w:numPr>
          <w:ilvl w:val="0"/>
          <w:numId w:val="3"/>
        </w:numPr>
        <w:spacing w:before="0" w:after="120"/>
        <w:rPr/>
      </w:pPr>
      <w:r>
        <w:rPr/>
        <w:t>The new Connection and Use of System Code (CUSC) was implemented on 18</w:t>
      </w:r>
      <w:r>
        <w:rPr>
          <w:vertAlign w:val="superscript"/>
        </w:rPr>
        <w:t>th</w:t>
      </w:r>
      <w:r>
        <w:rPr/>
        <w:t xml:space="preserve"> Sept.  There is already confusion over the split of governance between NETA and CUSC, as evidenced by P34 discussions that relate to the BSC’s treatment of energy resulting from generators delivering ancillary services to NGC.</w:t>
      </w:r>
    </w:p>
    <w:p>
      <w:pPr>
        <w:pStyle w:val="Normal"/>
        <w:numPr>
          <w:ilvl w:val="0"/>
          <w:numId w:val="3"/>
        </w:numPr>
        <w:spacing w:before="0" w:after="120"/>
        <w:rPr/>
      </w:pPr>
      <w:r>
        <w:rPr/>
        <w:t>FT article about problems CHP plant face under NETA.  This publicity could assist with a possible EEL sponsored BSC modification to move contract notifications ex-post instead of 3.5 hours before dispatch.</w:t>
      </w:r>
    </w:p>
    <w:p>
      <w:pPr>
        <w:pStyle w:val="Normal"/>
        <w:numPr>
          <w:ilvl w:val="0"/>
          <w:numId w:val="3"/>
        </w:numPr>
        <w:spacing w:before="0" w:after="120"/>
        <w:rPr/>
      </w:pPr>
      <w:r>
        <w:rPr/>
        <w:t>UK Power Market update due Wednesday – internal briefing note outlining EEL’s public stance on issues.</w:t>
      </w:r>
    </w:p>
    <w:p>
      <w:pPr>
        <w:pStyle w:val="Normal"/>
        <w:numPr>
          <w:ilvl w:val="0"/>
          <w:numId w:val="3"/>
        </w:numPr>
        <w:spacing w:before="0" w:after="120"/>
        <w:rPr/>
      </w:pPr>
      <w:r>
        <w:rPr/>
        <w:t>Market Abuse Licence Condition (MALC) statutory consultation.  Responses due early Oct.</w:t>
      </w:r>
    </w:p>
    <w:p>
      <w:pPr>
        <w:pStyle w:val="Normal"/>
        <w:numPr>
          <w:ilvl w:val="0"/>
          <w:numId w:val="3"/>
        </w:numPr>
        <w:spacing w:before="0" w:after="120"/>
        <w:rPr/>
      </w:pPr>
      <w:r>
        <w:rPr/>
        <w:t>Association of Electricity Producers ETC meeting on Wednesday 26</w:t>
      </w:r>
      <w:r>
        <w:rPr>
          <w:vertAlign w:val="superscript"/>
        </w:rPr>
        <w:t>th</w:t>
      </w:r>
      <w:r>
        <w:rPr/>
        <w:t>.</w:t>
      </w:r>
    </w:p>
    <w:p>
      <w:pPr>
        <w:pStyle w:val="Normal"/>
        <w:numPr>
          <w:ilvl w:val="0"/>
          <w:numId w:val="3"/>
        </w:numPr>
        <w:rPr/>
      </w:pPr>
      <w:r>
        <w:rPr/>
        <w:t>There is a rumour that Barbara Vest will leave the BSC Panel and CUSC Panel in December.  If true, should EEL move on this?</w:t>
      </w:r>
    </w:p>
    <w:p>
      <w:pPr>
        <w:pStyle w:val="Normal"/>
        <w:rPr/>
      </w:pPr>
      <w:r>
        <w:rPr/>
      </w:r>
    </w:p>
    <w:p>
      <w:pPr>
        <w:pStyle w:val="Normal"/>
        <w:rPr/>
      </w:pPr>
      <w:r>
        <w:rPr/>
      </w:r>
    </w:p>
    <w:p>
      <w:pPr>
        <w:pStyle w:val="Normal"/>
        <w:numPr>
          <w:ilvl w:val="0"/>
          <w:numId w:val="3"/>
        </w:numPr>
        <w:rPr>
          <w:sz w:val="28"/>
        </w:rPr>
      </w:pPr>
      <w:r>
        <w:rPr>
          <w:b/>
          <w:bCs/>
          <w:sz w:val="28"/>
        </w:rPr>
        <w:t>Mustafa Hussain:</w:t>
      </w:r>
    </w:p>
    <w:p>
      <w:pPr>
        <w:pStyle w:val="Normal"/>
        <w:numPr>
          <w:ilvl w:val="0"/>
          <w:numId w:val="5"/>
        </w:numPr>
        <w:autoSpaceDE w:val="false"/>
        <w:ind w:hanging="380" w:start="380" w:end="0"/>
        <w:rPr>
          <w:szCs w:val="20"/>
          <w:lang w:val="en-US"/>
        </w:rPr>
      </w:pPr>
      <w:r>
        <w:rPr>
          <w:szCs w:val="20"/>
          <w:lang w:val="en-US"/>
        </w:rPr>
        <w:t>Preliminary draft of response to DTI regarding the statutory consultation on the Renewable Obligation Certificate (ROC) scheme</w:t>
      </w:r>
    </w:p>
    <w:p>
      <w:pPr>
        <w:pStyle w:val="Normal"/>
        <w:rPr>
          <w:b/>
          <w:bCs/>
          <w:szCs w:val="20"/>
          <w:lang w:val="en-US"/>
        </w:rPr>
      </w:pPr>
      <w:r>
        <w:rPr>
          <w:b/>
          <w:bCs/>
          <w:szCs w:val="20"/>
          <w:lang w:val="en-US"/>
        </w:rPr>
      </w:r>
    </w:p>
    <w:p>
      <w:pPr>
        <w:pStyle w:val="Normal"/>
        <w:numPr>
          <w:ilvl w:val="0"/>
          <w:numId w:val="3"/>
        </w:numPr>
        <w:rPr>
          <w:b/>
          <w:bCs/>
          <w:sz w:val="28"/>
        </w:rPr>
      </w:pPr>
      <w:r>
        <w:rPr>
          <w:b/>
          <w:bCs/>
          <w:sz w:val="28"/>
        </w:rPr>
        <w:t>Adam Cooper</w:t>
      </w:r>
    </w:p>
    <w:p>
      <w:pPr>
        <w:pStyle w:val="Normal"/>
        <w:rPr>
          <w:b/>
          <w:bCs/>
          <w:sz w:val="28"/>
        </w:rPr>
      </w:pPr>
      <w:r>
        <w:rPr>
          <w:b/>
          <w:bCs/>
          <w:sz w:val="28"/>
        </w:rPr>
      </w:r>
    </w:p>
    <w:p>
      <w:pPr>
        <w:pStyle w:val="Normal"/>
        <w:numPr>
          <w:ilvl w:val="0"/>
          <w:numId w:val="3"/>
        </w:numPr>
        <w:rPr/>
      </w:pPr>
      <w:r>
        <w:rPr/>
        <w:t>Ofgem seminar on System Operator incentives raised some of the difficulties of setting incentives for Transco.  The key capacity investment incentive is far from fully developed and will influence (be influenced by) the design of the long-term capacity product and allocation mechanism. Industry responses are due by 5 November.</w:t>
      </w:r>
    </w:p>
    <w:p>
      <w:pPr>
        <w:pStyle w:val="Normal"/>
        <w:rPr/>
      </w:pPr>
      <w:r>
        <w:rPr/>
      </w:r>
    </w:p>
    <w:p>
      <w:pPr>
        <w:pStyle w:val="Normal"/>
        <w:numPr>
          <w:ilvl w:val="0"/>
          <w:numId w:val="3"/>
        </w:numPr>
        <w:rPr/>
      </w:pPr>
      <w:r>
        <w:rPr/>
        <w:t>The development of long-term capacity is happening in parallel, but Transco will run a seminar to try and bring this and the incentives work together.</w:t>
      </w:r>
    </w:p>
    <w:p>
      <w:pPr>
        <w:pStyle w:val="Normal"/>
        <w:rPr/>
      </w:pPr>
      <w:r>
        <w:rPr/>
      </w:r>
    </w:p>
    <w:p>
      <w:pPr>
        <w:pStyle w:val="Normal"/>
        <w:numPr>
          <w:ilvl w:val="0"/>
          <w:numId w:val="3"/>
        </w:numPr>
        <w:rPr/>
      </w:pPr>
      <w:r>
        <w:rPr/>
        <w:t>Further changes to current entry capacity arrangements are on the table.  A technical amendment to a Transco price consultation, and a network code modification to better utilise auction over recovery money.  We are supportive of both.</w:t>
      </w:r>
    </w:p>
    <w:p>
      <w:pPr>
        <w:pStyle w:val="Normal"/>
        <w:rPr/>
      </w:pPr>
      <w:r>
        <w:rPr/>
      </w:r>
    </w:p>
    <w:p>
      <w:pPr>
        <w:pStyle w:val="Normal"/>
        <w:numPr>
          <w:ilvl w:val="0"/>
          <w:numId w:val="3"/>
        </w:numPr>
        <w:rPr/>
      </w:pPr>
      <w:r>
        <w:rPr/>
        <w:t>A new storage consultation might emerge this week seeking views on the form of undertakings that Dynegy should have to operate the storage assets.  DG OFT must finalise this issue by 23 October.</w:t>
      </w:r>
    </w:p>
    <w:p>
      <w:pPr>
        <w:pStyle w:val="Normal"/>
        <w:rPr/>
      </w:pPr>
      <w:r>
        <w:rPr/>
      </w:r>
    </w:p>
    <w:p>
      <w:pPr>
        <w:pStyle w:val="Normal"/>
        <w:rPr/>
      </w:pPr>
      <w:r>
        <w:rPr/>
      </w:r>
    </w:p>
    <w:p>
      <w:pPr>
        <w:pStyle w:val="Normal"/>
        <w:pBdr>
          <w:bottom w:val="single" w:sz="12" w:space="1" w:color="000000"/>
        </w:pBdr>
        <w:rPr/>
      </w:pPr>
      <w:r>
        <w:rPr/>
      </w:r>
    </w:p>
    <w:p>
      <w:pPr>
        <w:pStyle w:val="Normal"/>
        <w:rPr/>
      </w:pPr>
      <w:r>
        <w:rPr/>
      </w:r>
    </w:p>
    <w:p>
      <w:pPr>
        <w:pStyle w:val="Normal"/>
        <w:rPr/>
      </w:pPr>
      <w:r>
        <w:rPr/>
      </w:r>
    </w:p>
    <w:p>
      <w:pPr>
        <w:pStyle w:val="Heading2"/>
        <w:ind w:hanging="0" w:start="0"/>
        <w:rPr>
          <w:sz w:val="32"/>
        </w:rPr>
      </w:pPr>
      <w:r>
        <w:rPr>
          <w:sz w:val="32"/>
        </w:rPr>
        <w:t>Continental Gas, Power &amp; EU</w:t>
      </w:r>
    </w:p>
    <w:p>
      <w:pPr>
        <w:pStyle w:val="Normal"/>
        <w:rPr>
          <w:sz w:val="32"/>
        </w:rPr>
      </w:pPr>
      <w:r>
        <w:rPr>
          <w:sz w:val="32"/>
        </w:rPr>
      </w:r>
    </w:p>
    <w:p>
      <w:pPr>
        <w:pStyle w:val="Normal"/>
        <w:numPr>
          <w:ilvl w:val="0"/>
          <w:numId w:val="2"/>
        </w:numPr>
        <w:rPr>
          <w:sz w:val="28"/>
        </w:rPr>
      </w:pPr>
      <w:r>
        <w:rPr>
          <w:b/>
          <w:bCs/>
          <w:sz w:val="28"/>
        </w:rPr>
        <w:t>Doug Wood</w:t>
      </w:r>
    </w:p>
    <w:p>
      <w:pPr>
        <w:pStyle w:val="Normal"/>
        <w:rPr>
          <w:b/>
          <w:bCs/>
          <w:sz w:val="28"/>
        </w:rPr>
      </w:pPr>
      <w:r>
        <w:rPr>
          <w:b/>
          <w:bCs/>
          <w:sz w:val="28"/>
        </w:rPr>
      </w:r>
    </w:p>
    <w:p>
      <w:pPr>
        <w:pStyle w:val="Heading5"/>
        <w:ind w:hanging="0" w:start="0"/>
        <w:rPr/>
      </w:pPr>
      <w:r>
        <w:rPr/>
        <w:t>Continental Gas</w:t>
      </w:r>
    </w:p>
    <w:p>
      <w:pPr>
        <w:pStyle w:val="Normal"/>
        <w:autoSpaceDE w:val="false"/>
        <w:rPr>
          <w:rFonts w:ascii="Arial" w:hAnsi="Arial" w:cs="Arial"/>
          <w:sz w:val="20"/>
          <w:szCs w:val="20"/>
          <w:lang w:val="en-US"/>
        </w:rPr>
      </w:pPr>
      <w:r>
        <w:rPr>
          <w:rFonts w:cs="Arial" w:ascii="Arial" w:hAnsi="Arial"/>
          <w:sz w:val="20"/>
          <w:szCs w:val="20"/>
          <w:lang w:val="en-US"/>
        </w:rPr>
      </w:r>
    </w:p>
    <w:p>
      <w:pPr>
        <w:pStyle w:val="Normal"/>
        <w:autoSpaceDE w:val="false"/>
        <w:rPr>
          <w:szCs w:val="20"/>
          <w:lang w:val="en-US"/>
        </w:rPr>
      </w:pPr>
      <w:r>
        <w:rPr>
          <w:szCs w:val="20"/>
          <w:lang w:val="en-US"/>
        </w:rPr>
        <w:t>France - Initial plan agreed with Commercial to pursue access to Franpipe / Dunkerque.  At recent French forum, Statoil announced that the pipeline was not full, but they were likely to award spare capacity to existing capacity holders.  First steps : to write to all existing capacity holders on formal basis and document refusal or excessive terms demanded.</w:t>
      </w:r>
    </w:p>
    <w:p>
      <w:pPr>
        <w:pStyle w:val="Normal"/>
        <w:autoSpaceDE w:val="false"/>
        <w:rPr>
          <w:szCs w:val="20"/>
          <w:lang w:val="en-US"/>
        </w:rPr>
      </w:pPr>
      <w:r>
        <w:rPr>
          <w:szCs w:val="20"/>
          <w:lang w:val="en-US"/>
        </w:rPr>
      </w:r>
    </w:p>
    <w:p>
      <w:pPr>
        <w:pStyle w:val="Normal"/>
        <w:autoSpaceDE w:val="false"/>
        <w:rPr>
          <w:szCs w:val="20"/>
          <w:lang w:val="en-US"/>
        </w:rPr>
      </w:pPr>
      <w:r>
        <w:rPr>
          <w:szCs w:val="20"/>
          <w:lang w:val="en-US"/>
        </w:rPr>
        <w:t>Netherlands - Gasunie has announced tariffs which include tighter balancing terms and a withdrawal of balancing services.  Gasunie has initiated legal proceedings aganist DTe for acting ultra vires in unitlaterally imposing stricter conditions than is permitted under the Gas Act.  Need to assess whether there is an opportunity for Enron to register an interest and the pros and cons of providing evidence if appropriate.</w:t>
      </w:r>
    </w:p>
    <w:p>
      <w:pPr>
        <w:pStyle w:val="Normal"/>
        <w:autoSpaceDE w:val="false"/>
        <w:rPr>
          <w:szCs w:val="20"/>
          <w:lang w:val="en-US"/>
        </w:rPr>
      </w:pPr>
      <w:r>
        <w:rPr>
          <w:szCs w:val="20"/>
          <w:lang w:val="en-US"/>
        </w:rPr>
      </w:r>
    </w:p>
    <w:p>
      <w:pPr>
        <w:pStyle w:val="Normal"/>
        <w:autoSpaceDE w:val="false"/>
        <w:rPr/>
      </w:pPr>
      <w:r>
        <w:rPr>
          <w:szCs w:val="20"/>
          <w:lang w:val="en-US"/>
        </w:rPr>
        <w:t>Pan European - Richard Harper has recommended that Enron purchase the Swift model on European gas supply/demand.  Benefits to our group should be an increased ability to evaluate the</w:t>
      </w:r>
      <w:r>
        <w:rPr>
          <w:color w:val="0000FF"/>
          <w:szCs w:val="20"/>
          <w:lang w:val="en-US"/>
        </w:rPr>
        <w:t xml:space="preserve"> </w:t>
      </w:r>
      <w:r>
        <w:rPr>
          <w:szCs w:val="20"/>
          <w:lang w:val="en-US"/>
        </w:rPr>
        <w:t>effects of liberalisation in specific countries, to reinforce arguments.  May also provide a framework to analyse the effects on prices/gas flows of specific policy changes.</w:t>
      </w:r>
    </w:p>
    <w:p>
      <w:pPr>
        <w:pStyle w:val="Normal"/>
        <w:autoSpaceDE w:val="false"/>
        <w:rPr>
          <w:rFonts w:ascii="Arial" w:hAnsi="Arial" w:cs="Arial"/>
          <w:sz w:val="20"/>
          <w:szCs w:val="20"/>
          <w:lang w:val="en-US"/>
        </w:rPr>
      </w:pPr>
      <w:r>
        <w:rPr>
          <w:rFonts w:cs="Arial" w:ascii="Arial" w:hAnsi="Arial"/>
          <w:sz w:val="20"/>
          <w:szCs w:val="20"/>
          <w:lang w:val="en-US"/>
        </w:rPr>
      </w:r>
    </w:p>
    <w:p>
      <w:pPr>
        <w:pStyle w:val="Normal"/>
        <w:autoSpaceDE w:val="false"/>
        <w:rPr>
          <w:rFonts w:ascii="Arial" w:hAnsi="Arial" w:cs="Arial"/>
          <w:sz w:val="20"/>
          <w:szCs w:val="20"/>
          <w:lang w:val="en-US"/>
        </w:rPr>
      </w:pPr>
      <w:r>
        <w:rPr>
          <w:rFonts w:cs="Arial" w:ascii="Arial" w:hAnsi="Arial"/>
          <w:sz w:val="20"/>
          <w:szCs w:val="20"/>
          <w:lang w:val="en-US"/>
        </w:rPr>
      </w:r>
    </w:p>
    <w:p>
      <w:pPr>
        <w:pStyle w:val="Heading5"/>
        <w:ind w:hanging="0" w:start="0"/>
        <w:rPr/>
      </w:pPr>
      <w:r>
        <w:rPr/>
        <w:t xml:space="preserve">C&amp;EE </w:t>
      </w:r>
    </w:p>
    <w:p>
      <w:pPr>
        <w:pStyle w:val="Normal"/>
        <w:autoSpaceDE w:val="false"/>
        <w:rPr>
          <w:rFonts w:ascii="Arial" w:hAnsi="Arial" w:cs="Arial"/>
          <w:sz w:val="20"/>
          <w:szCs w:val="20"/>
          <w:lang w:val="en-US"/>
        </w:rPr>
      </w:pPr>
      <w:r>
        <w:rPr>
          <w:rFonts w:cs="Arial" w:ascii="Arial" w:hAnsi="Arial"/>
          <w:sz w:val="20"/>
          <w:szCs w:val="20"/>
          <w:lang w:val="en-US"/>
        </w:rPr>
      </w:r>
    </w:p>
    <w:p>
      <w:pPr>
        <w:pStyle w:val="Normal"/>
        <w:autoSpaceDE w:val="false"/>
        <w:rPr>
          <w:szCs w:val="20"/>
          <w:lang w:val="en-US"/>
        </w:rPr>
      </w:pPr>
      <w:r>
        <w:rPr>
          <w:szCs w:val="20"/>
          <w:lang w:val="en-US"/>
        </w:rPr>
        <w:t>Greece - On Thursday, the regulator approved Enron's application for an electricity supply licence.  We now need final approval from the Minister of Development, but hopefully that will be a rubber stamp.</w:t>
      </w:r>
    </w:p>
    <w:p>
      <w:pPr>
        <w:pStyle w:val="Normal"/>
        <w:autoSpaceDE w:val="false"/>
        <w:rPr>
          <w:szCs w:val="20"/>
          <w:lang w:val="en-US"/>
        </w:rPr>
      </w:pPr>
      <w:r>
        <w:rPr>
          <w:szCs w:val="20"/>
          <w:lang w:val="en-US"/>
        </w:rPr>
        <w:t>Draft comments prepared on Greek interconnectors.</w:t>
      </w:r>
    </w:p>
    <w:p>
      <w:pPr>
        <w:pStyle w:val="Normal"/>
        <w:autoSpaceDE w:val="false"/>
        <w:rPr>
          <w:szCs w:val="20"/>
          <w:lang w:val="en-US"/>
        </w:rPr>
      </w:pPr>
      <w:r>
        <w:rPr>
          <w:szCs w:val="20"/>
          <w:lang w:val="en-US"/>
        </w:rPr>
      </w:r>
    </w:p>
    <w:p>
      <w:pPr>
        <w:pStyle w:val="Normal"/>
        <w:rPr>
          <w:szCs w:val="20"/>
          <w:lang w:val="en-US"/>
        </w:rPr>
      </w:pPr>
      <w:r>
        <w:rPr>
          <w:szCs w:val="20"/>
          <w:lang w:val="en-US"/>
        </w:rPr>
      </w:r>
    </w:p>
    <w:p>
      <w:pPr>
        <w:pStyle w:val="Normal"/>
        <w:rPr/>
      </w:pPr>
      <w:r>
        <w:rPr/>
      </w:r>
    </w:p>
    <w:p>
      <w:pPr>
        <w:pStyle w:val="Normal"/>
        <w:rPr/>
      </w:pPr>
      <w:r>
        <w:rPr/>
      </w:r>
    </w:p>
    <w:p>
      <w:pPr>
        <w:pStyle w:val="Normal"/>
        <w:numPr>
          <w:ilvl w:val="0"/>
          <w:numId w:val="2"/>
        </w:numPr>
        <w:rPr>
          <w:sz w:val="28"/>
        </w:rPr>
      </w:pPr>
      <w:r>
        <w:rPr>
          <w:b/>
          <w:bCs/>
          <w:sz w:val="28"/>
        </w:rPr>
        <w:t>Paul Hennemeyer:</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numPr>
          <w:ilvl w:val="0"/>
          <w:numId w:val="2"/>
        </w:numPr>
        <w:rPr>
          <w:b/>
          <w:bCs/>
          <w:sz w:val="28"/>
        </w:rPr>
      </w:pPr>
      <w:r>
        <w:rPr>
          <w:b/>
          <w:bCs/>
          <w:sz w:val="28"/>
        </w:rPr>
        <w:t>Jan Haizmann + EBS:</w:t>
      </w:r>
    </w:p>
    <w:p>
      <w:pPr>
        <w:pStyle w:val="Normal"/>
        <w:rPr/>
      </w:pPr>
      <w:r>
        <w:rPr>
          <w:b/>
          <w:bCs/>
        </w:rPr>
        <w:t>Germany:</w:t>
      </w:r>
      <w:r>
        <w:rPr/>
        <w:t xml:space="preserve"> Meeting with Federal Cartel Office re merger proceedings re: EON/Ruhrgas. BKA accepted Enron’s intervention and shares concern with vertical integration. BKA is opening up in depth investigation. Enron has co-ordinated other market participants to intervene against the merger, notably Aquila &amp; Natgas with sharing cost arrangement for research.</w:t>
      </w:r>
    </w:p>
    <w:p>
      <w:pPr>
        <w:pStyle w:val="Normal"/>
        <w:rPr>
          <w:b/>
          <w:bCs/>
        </w:rPr>
      </w:pPr>
      <w:r>
        <w:rPr>
          <w:b/>
          <w:bCs/>
        </w:rPr>
      </w:r>
    </w:p>
    <w:p>
      <w:pPr>
        <w:pStyle w:val="Normal"/>
        <w:rPr/>
      </w:pPr>
      <w:r>
        <w:rPr>
          <w:b/>
          <w:bCs/>
        </w:rPr>
        <w:t xml:space="preserve">Germany: </w:t>
      </w:r>
      <w:r>
        <w:rPr/>
        <w:t>Co-ordinated meeting Enron/Ruhrgas re: Mineral Oil Tax, Ruhrgas is now prepared to negotiate on paying the tax for us.</w:t>
      </w:r>
    </w:p>
    <w:p>
      <w:pPr>
        <w:pStyle w:val="Normal"/>
        <w:rPr/>
      </w:pPr>
      <w:r>
        <w:rPr/>
      </w:r>
    </w:p>
    <w:p>
      <w:pPr>
        <w:pStyle w:val="Normal"/>
        <w:rPr/>
      </w:pPr>
      <w:r>
        <w:rPr>
          <w:b/>
          <w:bCs/>
        </w:rPr>
        <w:t>EBS:</w:t>
      </w:r>
      <w:r>
        <w:rPr/>
        <w:t xml:space="preserve"> Initiated licensing procedure for Hungary and Slovenia</w:t>
      </w:r>
    </w:p>
    <w:p>
      <w:pPr>
        <w:pStyle w:val="Normal"/>
        <w:rPr/>
      </w:pPr>
      <w:r>
        <w:rPr/>
        <w:t>Prepared presentation of EBS President at European Commission in Brussels on 3 October</w:t>
      </w:r>
    </w:p>
    <w:p>
      <w:pPr>
        <w:pStyle w:val="Normal"/>
        <w:rPr/>
      </w:pPr>
      <w:r>
        <w:rPr/>
        <w:t>Meeting with Dr. Dreyer, president of German  Telececommunications Services re: co-operation</w:t>
      </w:r>
    </w:p>
    <w:p>
      <w:pPr>
        <w:pStyle w:val="Normal"/>
        <w:rPr/>
      </w:pPr>
      <w:r>
        <w:rPr/>
      </w:r>
    </w:p>
    <w:p>
      <w:pPr>
        <w:pStyle w:val="Normal"/>
        <w:rPr/>
      </w:pPr>
      <w:r>
        <w:rPr>
          <w:b/>
          <w:bCs/>
        </w:rPr>
        <w:t>Enron Direct:</w:t>
      </w:r>
      <w:r>
        <w:rPr/>
        <w:t xml:space="preserve"> Securing license and UK access numbers for retail voice business launch</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b/>
          <w:bCs/>
          <w:sz w:val="28"/>
        </w:rPr>
      </w:pPr>
      <w:r>
        <w:rPr>
          <w:b/>
          <w:bCs/>
          <w:sz w:val="28"/>
        </w:rPr>
        <w:t>Peter Styles</w:t>
      </w:r>
    </w:p>
    <w:p>
      <w:pPr>
        <w:pStyle w:val="Normal"/>
        <w:rPr>
          <w:b/>
          <w:bCs/>
          <w:sz w:val="28"/>
        </w:rPr>
      </w:pPr>
      <w:r>
        <w:rPr>
          <w:b/>
          <w:bCs/>
          <w:sz w:val="28"/>
        </w:rPr>
      </w:r>
    </w:p>
    <w:p>
      <w:pPr>
        <w:pStyle w:val="Normal"/>
        <w:rPr>
          <w:b/>
          <w:bCs/>
          <w:sz w:val="28"/>
        </w:rPr>
      </w:pPr>
      <w:r>
        <w:rPr>
          <w:b/>
          <w:bCs/>
          <w:sz w:val="28"/>
        </w:rPr>
      </w:r>
    </w:p>
    <w:p>
      <w:pPr>
        <w:pStyle w:val="Normal"/>
        <w:numPr>
          <w:ilvl w:val="0"/>
          <w:numId w:val="2"/>
        </w:numPr>
        <w:rPr>
          <w:b/>
          <w:bCs/>
          <w:sz w:val="28"/>
        </w:rPr>
      </w:pPr>
      <w:r>
        <w:rPr>
          <w:b/>
          <w:bCs/>
          <w:sz w:val="28"/>
        </w:rPr>
        <w:t>Nailia Dindarova</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numPr>
          <w:ilvl w:val="0"/>
          <w:numId w:val="2"/>
        </w:numPr>
        <w:rPr>
          <w:sz w:val="28"/>
        </w:rPr>
      </w:pPr>
      <w:r>
        <w:rPr>
          <w:b/>
          <w:bCs/>
          <w:sz w:val="28"/>
        </w:rPr>
        <w:t>Alfredo Huertas:</w:t>
      </w:r>
    </w:p>
    <w:p>
      <w:pPr>
        <w:pStyle w:val="Normal"/>
        <w:rPr>
          <w:sz w:val="28"/>
        </w:rPr>
      </w:pPr>
      <w:r>
        <w:rPr>
          <w:sz w:val="28"/>
        </w:rPr>
      </w:r>
    </w:p>
    <w:p>
      <w:pPr>
        <w:pStyle w:val="Normal"/>
        <w:rPr/>
      </w:pPr>
      <w:r>
        <w:rPr/>
      </w:r>
    </w:p>
    <w:p>
      <w:pPr>
        <w:pStyle w:val="Normal"/>
        <w:rPr/>
      </w:pPr>
      <w:r>
        <w:rPr/>
      </w:r>
    </w:p>
    <w:p>
      <w:pPr>
        <w:pStyle w:val="Normal"/>
        <w:rPr/>
      </w:pPr>
      <w:r>
        <w:rPr/>
      </w:r>
    </w:p>
    <w:p>
      <w:pPr>
        <w:pStyle w:val="Normal"/>
        <w:numPr>
          <w:ilvl w:val="0"/>
          <w:numId w:val="2"/>
        </w:numPr>
        <w:rPr>
          <w:sz w:val="28"/>
        </w:rPr>
      </w:pPr>
      <w:r>
        <w:rPr>
          <w:b/>
          <w:bCs/>
          <w:sz w:val="28"/>
        </w:rPr>
        <w:t>David Gonzalez:</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numPr>
          <w:ilvl w:val="0"/>
          <w:numId w:val="2"/>
        </w:numPr>
        <w:rPr>
          <w:b/>
          <w:bCs/>
          <w:sz w:val="28"/>
        </w:rPr>
      </w:pPr>
      <w:r>
        <w:rPr>
          <w:b/>
          <w:bCs/>
          <w:sz w:val="28"/>
        </w:rPr>
        <w:t>Bruno Gaillard:</w:t>
      </w:r>
    </w:p>
    <w:p>
      <w:pPr>
        <w:pStyle w:val="Normal"/>
        <w:rPr>
          <w:b/>
          <w:bCs/>
          <w:sz w:val="28"/>
        </w:rPr>
      </w:pPr>
      <w:r>
        <w:rPr>
          <w:b/>
          <w:bCs/>
          <w:sz w:val="28"/>
        </w:rPr>
      </w:r>
    </w:p>
    <w:p>
      <w:pPr>
        <w:pStyle w:val="Normal"/>
        <w:rPr/>
      </w:pPr>
      <w:r>
        <w:rPr/>
      </w:r>
    </w:p>
    <w:p>
      <w:pPr>
        <w:pStyle w:val="Normal"/>
        <w:rPr/>
      </w:pPr>
      <w:r>
        <w:rPr/>
      </w:r>
    </w:p>
    <w:p>
      <w:pPr>
        <w:pStyle w:val="Normal"/>
        <w:numPr>
          <w:ilvl w:val="0"/>
          <w:numId w:val="2"/>
        </w:numPr>
        <w:rPr>
          <w:b/>
          <w:bCs/>
          <w:sz w:val="28"/>
        </w:rPr>
      </w:pPr>
      <w:r>
        <w:rPr>
          <w:b/>
          <w:bCs/>
          <w:sz w:val="28"/>
        </w:rPr>
        <w:t>Antoine Duvauchelle:</w:t>
      </w:r>
    </w:p>
    <w:p>
      <w:pPr>
        <w:pStyle w:val="Normal"/>
        <w:rPr>
          <w:b/>
          <w:bCs/>
          <w:sz w:val="28"/>
        </w:rPr>
      </w:pPr>
      <w:r>
        <w:rPr>
          <w:b/>
          <w:bCs/>
          <w:sz w:val="28"/>
        </w:rPr>
      </w:r>
    </w:p>
    <w:p>
      <w:pPr>
        <w:pStyle w:val="Normal"/>
        <w:rPr>
          <w:b/>
          <w:bCs/>
          <w:sz w:val="28"/>
        </w:rPr>
      </w:pPr>
      <w:r>
        <w:rPr>
          <w:b/>
          <w:bCs/>
          <w:sz w:val="28"/>
        </w:rPr>
      </w:r>
    </w:p>
    <w:p>
      <w:pPr>
        <w:pStyle w:val="Normal"/>
        <w:rPr>
          <w:b/>
          <w:bCs/>
          <w:sz w:val="28"/>
        </w:rPr>
      </w:pPr>
      <w:r>
        <w:rPr>
          <w:b/>
          <w:bCs/>
          <w:sz w:val="28"/>
        </w:rPr>
      </w:r>
    </w:p>
    <w:p>
      <w:pPr>
        <w:pStyle w:val="Normal"/>
        <w:numPr>
          <w:ilvl w:val="0"/>
          <w:numId w:val="2"/>
        </w:numPr>
        <w:rPr>
          <w:b/>
          <w:bCs/>
          <w:sz w:val="28"/>
        </w:rPr>
      </w:pPr>
      <w:r>
        <w:rPr>
          <w:b/>
          <w:bCs/>
          <w:sz w:val="28"/>
        </w:rPr>
        <w:t>Teun Van Biert:</w:t>
      </w:r>
    </w:p>
    <w:p>
      <w:pPr>
        <w:pStyle w:val="Normal"/>
        <w:rPr>
          <w:b/>
          <w:bCs/>
          <w:sz w:val="28"/>
        </w:rPr>
      </w:pPr>
      <w:r>
        <w:rPr>
          <w:b/>
          <w:bCs/>
          <w:sz w:val="28"/>
        </w:rPr>
      </w:r>
    </w:p>
    <w:p>
      <w:pPr>
        <w:pStyle w:val="Normal"/>
        <w:pBdr>
          <w:bottom w:val="single" w:sz="12" w:space="1" w:color="000000"/>
        </w:pBdr>
        <w:rPr/>
      </w:pPr>
      <w:r>
        <w:rPr/>
      </w:r>
    </w:p>
    <w:p>
      <w:pPr>
        <w:pStyle w:val="Normal"/>
        <w:pBdr>
          <w:bottom w:val="single" w:sz="12" w:space="1" w:color="000000"/>
        </w:pBdr>
        <w:rPr/>
      </w:pPr>
      <w:r>
        <w:rPr/>
      </w:r>
    </w:p>
    <w:p>
      <w:pPr>
        <w:pStyle w:val="Normal"/>
        <w:rPr/>
      </w:pPr>
      <w:r>
        <w:rPr/>
      </w:r>
    </w:p>
    <w:p>
      <w:pPr>
        <w:pStyle w:val="Normal"/>
        <w:rPr/>
      </w:pPr>
      <w:r>
        <w:rPr/>
      </w:r>
    </w:p>
    <w:p>
      <w:pPr>
        <w:pStyle w:val="Heading4"/>
        <w:ind w:hanging="0" w:start="0"/>
        <w:rPr/>
      </w:pPr>
      <w:r>
        <w:rPr/>
        <w:t>Department Admin Issues</w:t>
      </w:r>
    </w:p>
    <w:p>
      <w:pPr>
        <w:pStyle w:val="Normal"/>
        <w:rPr>
          <w:b/>
          <w:bCs/>
          <w:sz w:val="32"/>
          <w:u w:val="single"/>
        </w:rPr>
      </w:pPr>
      <w:r>
        <w:rPr>
          <w:b/>
          <w:bCs/>
          <w:sz w:val="32"/>
          <w:u w:val="single"/>
        </w:rPr>
      </w:r>
    </w:p>
    <w:p>
      <w:pPr>
        <w:pStyle w:val="Normal"/>
        <w:numPr>
          <w:ilvl w:val="0"/>
          <w:numId w:val="4"/>
        </w:numPr>
        <w:tabs>
          <w:tab w:val="clear" w:pos="720"/>
          <w:tab w:val="left" w:pos="360" w:leader="none"/>
        </w:tabs>
        <w:ind w:hanging="720" w:start="720" w:end="0"/>
        <w:rPr>
          <w:b/>
          <w:bCs/>
          <w:sz w:val="32"/>
        </w:rPr>
      </w:pPr>
      <w:r>
        <w:rPr>
          <w:b/>
          <w:bCs/>
          <w:sz w:val="28"/>
        </w:rPr>
        <w:t>Kerryann Irwin:</w:t>
      </w:r>
    </w:p>
    <w:p>
      <w:pPr>
        <w:pStyle w:val="Normal"/>
        <w:tabs>
          <w:tab w:val="clear" w:pos="720"/>
          <w:tab w:val="left" w:pos="360" w:leader="none"/>
        </w:tabs>
        <w:ind w:hanging="720" w:end="0"/>
        <w:rPr>
          <w:b/>
          <w:bCs/>
          <w:sz w:val="28"/>
          <w:u w:val="single"/>
        </w:rPr>
      </w:pPr>
      <w:r>
        <w:rPr>
          <w:b/>
          <w:bCs/>
          <w:sz w:val="28"/>
          <w:u w:val="single"/>
        </w:rPr>
      </w:r>
    </w:p>
    <w:p>
      <w:pPr>
        <w:pStyle w:val="Normal"/>
        <w:tabs>
          <w:tab w:val="clear" w:pos="720"/>
          <w:tab w:val="left" w:pos="360" w:leader="none"/>
        </w:tabs>
        <w:ind w:hanging="720" w:end="0"/>
        <w:rPr>
          <w:b/>
          <w:bCs/>
          <w:sz w:val="28"/>
          <w:u w:val="single"/>
        </w:rPr>
      </w:pPr>
      <w:r>
        <w:rPr>
          <w:b/>
          <w:bCs/>
          <w:sz w:val="28"/>
          <w:u w:val="single"/>
        </w:rPr>
      </w:r>
    </w:p>
    <w:p>
      <w:pPr>
        <w:pStyle w:val="Normal"/>
        <w:numPr>
          <w:ilvl w:val="0"/>
          <w:numId w:val="4"/>
        </w:numPr>
        <w:tabs>
          <w:tab w:val="clear" w:pos="720"/>
          <w:tab w:val="left" w:pos="360" w:leader="none"/>
        </w:tabs>
        <w:ind w:hanging="720" w:start="720" w:end="0"/>
        <w:rPr>
          <w:b/>
          <w:bCs/>
          <w:sz w:val="32"/>
        </w:rPr>
      </w:pPr>
      <w:r>
        <w:rPr>
          <w:b/>
          <w:bCs/>
          <w:sz w:val="32"/>
        </w:rPr>
        <w:t>Amber Kennan:</w:t>
      </w:r>
    </w:p>
    <w:p>
      <w:pPr>
        <w:pStyle w:val="Normal"/>
        <w:tabs>
          <w:tab w:val="clear" w:pos="720"/>
          <w:tab w:val="left" w:pos="360" w:leader="none"/>
        </w:tabs>
        <w:ind w:hanging="720" w:end="0"/>
        <w:rPr>
          <w:b/>
          <w:bCs/>
          <w:sz w:val="32"/>
        </w:rPr>
      </w:pPr>
      <w:r>
        <w:rPr>
          <w:b/>
          <w:bCs/>
          <w:sz w:val="32"/>
        </w:rPr>
      </w:r>
    </w:p>
    <w:p>
      <w:pPr>
        <w:pStyle w:val="Normal"/>
        <w:tabs>
          <w:tab w:val="clear" w:pos="720"/>
          <w:tab w:val="left" w:pos="360" w:leader="none"/>
        </w:tabs>
        <w:ind w:hanging="720" w:end="0"/>
        <w:rPr/>
      </w:pPr>
      <w:r>
        <w:rPr/>
      </w:r>
    </w:p>
    <w:p>
      <w:pPr>
        <w:pStyle w:val="Normal"/>
        <w:numPr>
          <w:ilvl w:val="0"/>
          <w:numId w:val="4"/>
        </w:numPr>
        <w:tabs>
          <w:tab w:val="clear" w:pos="720"/>
          <w:tab w:val="left" w:pos="360" w:leader="none"/>
        </w:tabs>
        <w:ind w:hanging="720" w:start="720" w:end="0"/>
        <w:rPr>
          <w:b/>
          <w:bCs/>
          <w:sz w:val="28"/>
        </w:rPr>
      </w:pPr>
      <w:r>
        <w:rPr>
          <w:b/>
          <w:bCs/>
          <w:sz w:val="28"/>
        </w:rPr>
        <w:t>Pamela Milano:</w:t>
      </w:r>
    </w:p>
    <w:p>
      <w:pPr>
        <w:pStyle w:val="Normal"/>
        <w:tabs>
          <w:tab w:val="clear" w:pos="720"/>
          <w:tab w:val="left" w:pos="360" w:leader="none"/>
        </w:tabs>
        <w:ind w:hanging="720" w:end="0"/>
        <w:rPr>
          <w:b/>
          <w:bCs/>
          <w:sz w:val="28"/>
        </w:rPr>
      </w:pPr>
      <w:r>
        <w:rPr>
          <w:b/>
          <w:bCs/>
          <w:sz w:val="28"/>
        </w:rPr>
      </w:r>
    </w:p>
    <w:p>
      <w:pPr>
        <w:pStyle w:val="Normal"/>
        <w:tabs>
          <w:tab w:val="clear" w:pos="720"/>
          <w:tab w:val="left" w:pos="360" w:leader="none"/>
        </w:tabs>
        <w:ind w:hanging="720" w:end="0"/>
        <w:rPr>
          <w:b/>
          <w:bCs/>
          <w:sz w:val="28"/>
        </w:rPr>
      </w:pPr>
      <w:r>
        <w:rPr>
          <w:b/>
          <w:bCs/>
          <w:sz w:val="28"/>
        </w:rPr>
      </w:r>
    </w:p>
    <w:p>
      <w:pPr>
        <w:pStyle w:val="Normal"/>
        <w:numPr>
          <w:ilvl w:val="0"/>
          <w:numId w:val="4"/>
        </w:numPr>
        <w:tabs>
          <w:tab w:val="clear" w:pos="720"/>
          <w:tab w:val="left" w:pos="360" w:leader="none"/>
        </w:tabs>
        <w:ind w:hanging="720" w:start="720" w:end="0"/>
        <w:rPr>
          <w:b/>
          <w:bCs/>
          <w:sz w:val="28"/>
        </w:rPr>
      </w:pPr>
      <w:r>
        <w:rPr>
          <w:b/>
          <w:bCs/>
          <w:sz w:val="28"/>
        </w:rPr>
        <w:t>Merle Glen:</w:t>
      </w:r>
    </w:p>
    <w:p>
      <w:pPr>
        <w:pStyle w:val="Normal"/>
        <w:rPr>
          <w:b/>
          <w:bCs/>
          <w:sz w:val="28"/>
        </w:rPr>
      </w:pPr>
      <w:r>
        <w:rPr>
          <w:b/>
          <w:bCs/>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964" w:leader="none"/>
        </w:tabs>
        <w:rPr/>
      </w:pPr>
      <w:r>
        <w:rPr/>
        <w:tab/>
      </w:r>
    </w:p>
    <w:sectPr>
      <w:type w:val="nextPage"/>
      <w:pgSz w:w="12240" w:h="15840"/>
      <w:pgMar w:left="1728" w:right="1728" w:gutter="0" w:header="0" w:top="1440" w:footer="0" w:bottom="1440"/>
      <w:pgBorders w:display="allPages" w:offsetFrom="page">
        <w:top w:val="double" w:sz="4" w:space="24" w:color="339966"/>
        <w:left w:val="double" w:sz="4" w:space="24" w:color="339966"/>
        <w:bottom w:val="double" w:sz="4" w:space="24" w:color="339966"/>
        <w:right w:val="double" w:sz="4" w:space="24" w:color="339966"/>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sz w:val="28"/>
      <w:u w:val="single"/>
    </w:rPr>
  </w:style>
  <w:style w:type="paragraph" w:styleId="Heading4">
    <w:name w:val="heading 4"/>
    <w:basedOn w:val="Normal"/>
    <w:next w:val="Normal"/>
    <w:qFormat/>
    <w:pPr>
      <w:keepNext w:val="true"/>
      <w:numPr>
        <w:ilvl w:val="3"/>
        <w:numId w:val="1"/>
      </w:numPr>
      <w:outlineLvl w:val="3"/>
    </w:pPr>
    <w:rPr>
      <w:b/>
      <w:bCs/>
      <w:sz w:val="32"/>
      <w:u w:val="single"/>
    </w:rPr>
  </w:style>
  <w:style w:type="paragraph" w:styleId="Heading5">
    <w:name w:val="heading 5"/>
    <w:basedOn w:val="Normal"/>
    <w:next w:val="Normal"/>
    <w:qFormat/>
    <w:pPr>
      <w:keepNext w:val="true"/>
      <w:numPr>
        <w:ilvl w:val="4"/>
        <w:numId w:val="1"/>
      </w:numPr>
      <w:autoSpaceDE w:val="false"/>
      <w:outlineLvl w:val="4"/>
    </w:pPr>
    <w:rPr>
      <w:rFonts w:ascii="Arial" w:hAnsi="Arial" w:cs="Arial"/>
      <w:b/>
      <w:bCs/>
      <w:sz w:val="20"/>
      <w:szCs w:val="20"/>
      <w:lang w:val="en-U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St10z0">
    <w:name w:val="WW8NumSt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pPr>
    <w:rPr>
      <w:color w:val="000000"/>
      <w:szCs w:val="20"/>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2001-09-24T08:49:00Z</dcterms:created>
  <dc:creator>kirwin</dc:creator>
  <dc:description/>
  <dc:language>en-CA</dc:language>
  <cp:lastModifiedBy>mglen</cp:lastModifiedBy>
  <cp:lastPrinted>2001-09-06T11:59:00Z</cp:lastPrinted>
  <dcterms:modified xsi:type="dcterms:W3CDTF">2001-09-24T10:15:00Z</dcterms:modified>
  <cp:revision>5</cp:revision>
  <dc:subject/>
  <dc:title>Government &amp; Regulatory Affairs Team Mtg</dc:title>
</cp:coreProperties>
</file>