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-228600</wp:posOffset>
                </wp:positionV>
                <wp:extent cx="5143500" cy="914400"/>
                <wp:effectExtent l="14605" t="14605" r="14605" b="14605"/>
                <wp:wrapNone/>
                <wp:docPr id="1" name=""/>
                <a:graphic xmlns:a="http://schemas.openxmlformats.org/drawingml/2006/main">
                  <a:graphicData uri="http://schemas.microsoft.com/office/word/2010/wordprocessingShape">
                    <wps:wsp>
                      <wps:cNvSpPr/>
                      <wps:spPr>
                        <a:xfrm>
                          <a:off x="0" y="0"/>
                          <a:ext cx="5143680" cy="914400"/>
                        </a:xfrm>
                        <a:prstGeom prst="rect">
                          <a:avLst/>
                        </a:prstGeom>
                        <a:noFill/>
                        <a:ln w="284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pt;margin-top:-18pt;width:404.95pt;height:71.95pt;mso-wrap-style:none;v-text-anchor:middle">
                <v:fill o:detectmouseclick="t" on="false"/>
                <v:stroke color="black" weight="28440" joinstyle="miter" endcap="flat"/>
                <w10:wrap type="none"/>
              </v:rect>
            </w:pict>
          </mc:Fallback>
        </mc:AlternateContent>
      </w:r>
      <w:r>
        <w:rPr>
          <w:b/>
          <w:bCs/>
          <w:sz w:val="32"/>
        </w:rPr>
        <w:t>Government &amp; Regulatory Affairs Team Mtg.</w:t>
      </w:r>
    </w:p>
    <w:p>
      <w:pPr>
        <w:pStyle w:val="Normal"/>
        <w:jc w:val="center"/>
        <w:rPr>
          <w:b/>
          <w:bCs/>
          <w:sz w:val="32"/>
        </w:rPr>
      </w:pPr>
      <w:r>
        <w:rPr>
          <w:b/>
          <w:bCs/>
          <w:sz w:val="32"/>
        </w:rPr>
        <w:t>Held on 25/06/2001</w:t>
      </w:r>
    </w:p>
    <w:p>
      <w:pPr>
        <w:pStyle w:val="Normal"/>
        <w:rPr/>
      </w:pPr>
      <w:r>
        <w:rPr/>
      </w:r>
    </w:p>
    <w:p>
      <w:pPr>
        <w:pStyle w:val="Normal"/>
        <w:rPr/>
      </w:pPr>
      <w:r>
        <w:rPr/>
      </w:r>
    </w:p>
    <w:p>
      <w:pPr>
        <w:pStyle w:val="Normal"/>
        <w:rPr/>
      </w:pPr>
      <w:r>
        <w:rPr/>
      </w:r>
    </w:p>
    <w:p>
      <w:pPr>
        <w:pStyle w:val="Heading1"/>
        <w:ind w:hanging="0" w:start="0"/>
        <w:rPr>
          <w:b/>
          <w:bCs/>
          <w:sz w:val="32"/>
          <w:u w:val="none"/>
        </w:rPr>
      </w:pPr>
      <w:r>
        <w:rPr>
          <w:b/>
          <w:bCs/>
          <w:sz w:val="32"/>
        </w:rPr>
        <w:t>UK</w:t>
      </w:r>
    </w:p>
    <w:p>
      <w:pPr>
        <w:pStyle w:val="Normal"/>
        <w:numPr>
          <w:ilvl w:val="0"/>
          <w:numId w:val="4"/>
        </w:numPr>
        <w:rPr>
          <w:sz w:val="28"/>
        </w:rPr>
      </w:pPr>
      <w:r>
        <w:rPr>
          <w:b/>
          <w:bCs/>
          <w:sz w:val="28"/>
        </w:rPr>
        <w:t>Power:</w:t>
      </w:r>
    </w:p>
    <w:p>
      <w:pPr>
        <w:pStyle w:val="Normal"/>
        <w:rPr/>
      </w:pPr>
      <w:r>
        <w:rPr/>
        <w:t>A. Transmission Access and Losses.  Work ongoing on EEL response opposing reforms – due July 4</w:t>
      </w:r>
      <w:r>
        <w:rPr>
          <w:vertAlign w:val="superscript"/>
        </w:rPr>
        <w:t>th</w:t>
      </w:r>
      <w:r>
        <w:rPr/>
        <w:t xml:space="preserve">.  Keith is doing TPL response.  </w:t>
      </w:r>
    </w:p>
    <w:p>
      <w:pPr>
        <w:pStyle w:val="Normal"/>
        <w:rPr/>
      </w:pPr>
      <w:r>
        <w:rPr/>
        <w:t>B. NETA Mods:</w:t>
      </w:r>
    </w:p>
    <w:p>
      <w:pPr>
        <w:pStyle w:val="Normal"/>
        <w:numPr>
          <w:ilvl w:val="0"/>
          <w:numId w:val="6"/>
        </w:numPr>
        <w:rPr/>
      </w:pPr>
      <w:r>
        <w:rPr/>
        <w:t>P12 Gate Closure to 1 hour. EEL opposes. PD to attend mod group meeting 27 June</w:t>
      </w:r>
    </w:p>
    <w:p>
      <w:pPr>
        <w:pStyle w:val="Normal"/>
        <w:numPr>
          <w:ilvl w:val="0"/>
          <w:numId w:val="6"/>
        </w:numPr>
        <w:rPr/>
      </w:pPr>
      <w:r>
        <w:rPr/>
        <w:t>P15/18 removing short duration BOAs from price calculation.  EEL supports.  Panel proposes option 18A.  Mod group meeting 28 June.</w:t>
      </w:r>
    </w:p>
    <w:p>
      <w:pPr>
        <w:pStyle w:val="Normal"/>
        <w:numPr>
          <w:ilvl w:val="0"/>
          <w:numId w:val="6"/>
        </w:numPr>
        <w:rPr/>
      </w:pPr>
      <w:r>
        <w:rPr/>
        <w:t>P19 ex-post correction of notifications.  EEL supports. Retrospective nature of mod unlikely to fly.  A single error cost LE £7.5m and they are weighing in with barristers.  Consultation response due Tuesday 8am. NE to attend mod group meeting 2 July.</w:t>
      </w:r>
    </w:p>
    <w:p>
      <w:pPr>
        <w:pStyle w:val="Normal"/>
        <w:numPr>
          <w:ilvl w:val="0"/>
          <w:numId w:val="6"/>
        </w:numPr>
        <w:rPr/>
      </w:pPr>
      <w:r>
        <w:rPr/>
        <w:t>P20 BMU registration to an affiliate company.  EEL supports?</w:t>
      </w:r>
    </w:p>
    <w:p>
      <w:pPr>
        <w:pStyle w:val="Normal"/>
        <w:numPr>
          <w:ilvl w:val="0"/>
          <w:numId w:val="6"/>
        </w:numPr>
        <w:rPr/>
      </w:pPr>
      <w:r>
        <w:rPr/>
        <w:t>P21/24 Review of modification procedures.</w:t>
      </w:r>
    </w:p>
    <w:p>
      <w:pPr>
        <w:pStyle w:val="Normal"/>
        <w:numPr>
          <w:ilvl w:val="0"/>
          <w:numId w:val="6"/>
        </w:numPr>
        <w:rPr/>
      </w:pPr>
      <w:r>
        <w:rPr/>
        <w:t xml:space="preserve">P22 provision of generation outage information to all BSC Parties.  At present only NGC, who is a trader, has this information.  EEL supports. </w:t>
      </w:r>
    </w:p>
    <w:p>
      <w:pPr>
        <w:pStyle w:val="Normal"/>
        <w:rPr/>
      </w:pPr>
      <w:r>
        <w:rPr/>
        <w:t>C. NGC tender for fast response generation/demand in early July</w:t>
      </w:r>
    </w:p>
    <w:p>
      <w:pPr>
        <w:pStyle w:val="Normal"/>
        <w:rPr/>
      </w:pPr>
      <w:r>
        <w:rPr/>
      </w:r>
    </w:p>
    <w:p>
      <w:pPr>
        <w:pStyle w:val="Normal"/>
        <w:rPr/>
      </w:pPr>
      <w:r>
        <w:rPr/>
      </w:r>
    </w:p>
    <w:p>
      <w:pPr>
        <w:pStyle w:val="Normal"/>
        <w:numPr>
          <w:ilvl w:val="0"/>
          <w:numId w:val="4"/>
        </w:numPr>
        <w:rPr>
          <w:sz w:val="28"/>
        </w:rPr>
      </w:pPr>
      <w:r>
        <w:rPr>
          <w:b/>
          <w:bCs/>
          <w:sz w:val="28"/>
        </w:rPr>
        <w:t>Gas:</w:t>
      </w:r>
    </w:p>
    <w:p>
      <w:pPr>
        <w:pStyle w:val="Normal"/>
        <w:numPr>
          <w:ilvl w:val="1"/>
          <w:numId w:val="7"/>
        </w:numPr>
        <w:jc w:val="both"/>
        <w:rPr/>
      </w:pPr>
      <w:r>
        <w:rPr/>
        <w:t>Submitted confidential position paper to Transco (as part of a consultation for their response to the new price control) on Enron view on outputs, and how they should fit into the overall framework for investment in long-term NTS entry capacity (important in the light of EnCap).</w:t>
      </w:r>
    </w:p>
    <w:p>
      <w:pPr>
        <w:pStyle w:val="Normal"/>
        <w:numPr>
          <w:ilvl w:val="1"/>
          <w:numId w:val="7"/>
        </w:numPr>
        <w:jc w:val="both"/>
        <w:rPr/>
      </w:pPr>
      <w:r>
        <w:rPr/>
        <w:t xml:space="preserve">Will submit, today, representation with regards to Mod 465, with regards to the requirement to move back auction dates for the next batch of 6-month entry capacity auctions. </w:t>
      </w:r>
    </w:p>
    <w:p>
      <w:pPr>
        <w:pStyle w:val="Normal"/>
        <w:numPr>
          <w:ilvl w:val="1"/>
          <w:numId w:val="7"/>
        </w:numPr>
        <w:jc w:val="both"/>
        <w:rPr/>
      </w:pPr>
      <w:r>
        <w:rPr/>
        <w:t xml:space="preserve">Meeting with Transco this week to discuss information release requirements before the next round of auctions (important with regards to EnCap). </w:t>
      </w:r>
    </w:p>
    <w:p>
      <w:pPr>
        <w:pStyle w:val="Normal"/>
        <w:numPr>
          <w:ilvl w:val="1"/>
          <w:numId w:val="7"/>
        </w:numPr>
        <w:jc w:val="both"/>
        <w:rPr/>
      </w:pPr>
      <w:r>
        <w:rPr/>
        <w:t>Coordination with origination/legal in preparation of main commercial conditions of access to Teesside facilities (driven off changes in legal framework).</w:t>
      </w:r>
    </w:p>
    <w:p>
      <w:pPr>
        <w:pStyle w:val="Normal"/>
        <w:rPr/>
      </w:pPr>
      <w:r>
        <w:rPr/>
      </w:r>
    </w:p>
    <w:p>
      <w:pPr>
        <w:pStyle w:val="Normal"/>
        <w:rPr/>
      </w:pPr>
      <w:r>
        <w:rPr/>
      </w:r>
    </w:p>
    <w:p>
      <w:pPr>
        <w:pStyle w:val="Normal"/>
        <w:numPr>
          <w:ilvl w:val="0"/>
          <w:numId w:val="4"/>
        </w:numPr>
        <w:jc w:val="both"/>
        <w:rPr>
          <w:b/>
          <w:bCs/>
        </w:rPr>
      </w:pPr>
      <w:r>
        <w:rPr>
          <w:b/>
          <w:bCs/>
          <w:sz w:val="28"/>
        </w:rPr>
        <w:t>Rail:</w:t>
      </w:r>
    </w:p>
    <w:p>
      <w:pPr>
        <w:pStyle w:val="Normal"/>
        <w:jc w:val="both"/>
        <w:rPr>
          <w:b/>
          <w:bCs/>
        </w:rPr>
      </w:pPr>
      <w:r>
        <w:rPr>
          <w:b/>
          <w:bCs/>
        </w:rPr>
      </w:r>
    </w:p>
    <w:p>
      <w:pPr>
        <w:pStyle w:val="Normal"/>
        <w:numPr>
          <w:ilvl w:val="0"/>
          <w:numId w:val="3"/>
        </w:numPr>
        <w:jc w:val="both"/>
        <w:rPr/>
      </w:pPr>
      <w:r>
        <w:rPr>
          <w:color w:val="000000"/>
        </w:rPr>
        <w:t>Complaint against rail service provider for abuse of dominance - second phase of investigation.</w:t>
      </w:r>
    </w:p>
    <w:p>
      <w:pPr>
        <w:pStyle w:val="Normal"/>
        <w:rPr/>
      </w:pPr>
      <w:r>
        <w:rPr/>
      </w:r>
    </w:p>
    <w:p>
      <w:pPr>
        <w:pStyle w:val="Normal"/>
        <w:rPr/>
      </w:pPr>
      <w:r>
        <w:rPr/>
      </w:r>
    </w:p>
    <w:p>
      <w:pPr>
        <w:pStyle w:val="Normal"/>
        <w:numPr>
          <w:ilvl w:val="0"/>
          <w:numId w:val="4"/>
        </w:numPr>
        <w:rPr>
          <w:sz w:val="28"/>
        </w:rPr>
      </w:pPr>
      <w:r>
        <w:rPr>
          <w:b/>
          <w:bCs/>
          <w:sz w:val="28"/>
        </w:rPr>
        <w:t>EES Direct:</w:t>
      </w:r>
    </w:p>
    <w:p>
      <w:pPr>
        <w:pStyle w:val="Normal"/>
        <w:rPr>
          <w:sz w:val="28"/>
        </w:rPr>
      </w:pPr>
      <w:r>
        <w:rPr>
          <w:sz w:val="28"/>
        </w:rPr>
      </w:r>
    </w:p>
    <w:p>
      <w:pPr>
        <w:pStyle w:val="Normal"/>
        <w:numPr>
          <w:ilvl w:val="0"/>
          <w:numId w:val="3"/>
        </w:numPr>
        <w:jc w:val="both"/>
        <w:rPr/>
      </w:pPr>
      <w:r>
        <w:rPr/>
        <w:t xml:space="preserve">Updating of all Enron Direct codes of practice to meet standard of gas domestic codes of practice. </w:t>
      </w:r>
    </w:p>
    <w:p>
      <w:pPr>
        <w:pStyle w:val="Normal"/>
        <w:rPr/>
      </w:pPr>
      <w:r>
        <w:rPr/>
      </w:r>
    </w:p>
    <w:p>
      <w:pPr>
        <w:pStyle w:val="Normal"/>
        <w:rPr/>
      </w:pPr>
      <w:r>
        <w:rPr/>
      </w:r>
    </w:p>
    <w:p>
      <w:pPr>
        <w:pStyle w:val="Normal"/>
        <w:pBdr>
          <w:bottom w:val="single" w:sz="12" w:space="1" w:color="000000"/>
        </w:pBdr>
        <w:rPr/>
      </w:pPr>
      <w:r>
        <w:rPr/>
      </w:r>
    </w:p>
    <w:p>
      <w:pPr>
        <w:pStyle w:val="Normal"/>
        <w:rPr/>
      </w:pPr>
      <w:r>
        <w:rPr/>
      </w:r>
    </w:p>
    <w:p>
      <w:pPr>
        <w:pStyle w:val="Heading2"/>
        <w:ind w:hanging="0" w:start="0"/>
        <w:rPr>
          <w:sz w:val="32"/>
        </w:rPr>
      </w:pPr>
      <w:r>
        <w:rPr>
          <w:sz w:val="32"/>
        </w:rPr>
        <w:t>EU</w:t>
      </w:r>
    </w:p>
    <w:p>
      <w:pPr>
        <w:pStyle w:val="Normal"/>
        <w:rPr>
          <w:sz w:val="32"/>
        </w:rPr>
      </w:pPr>
      <w:r>
        <w:rPr>
          <w:sz w:val="32"/>
        </w:rPr>
      </w:r>
    </w:p>
    <w:p>
      <w:pPr>
        <w:pStyle w:val="Normal"/>
        <w:numPr>
          <w:ilvl w:val="0"/>
          <w:numId w:val="5"/>
        </w:numPr>
        <w:rPr>
          <w:sz w:val="28"/>
        </w:rPr>
      </w:pPr>
      <w:r>
        <w:rPr>
          <w:b/>
          <w:bCs/>
          <w:sz w:val="28"/>
        </w:rPr>
        <w:t>Gas:</w:t>
      </w:r>
    </w:p>
    <w:p>
      <w:pPr>
        <w:pStyle w:val="Normal"/>
        <w:rPr/>
      </w:pPr>
      <w:r>
        <w:rPr/>
        <w:t>DW hosted BIEE meeting on Security of Supply.  Principal concerns raised by Jonathan Stern on how to deal with French / German governments who will not give up sovereignty on this issue to the market, and political/economic stability in transit countries.</w:t>
      </w:r>
    </w:p>
    <w:p>
      <w:pPr>
        <w:pStyle w:val="Normal"/>
        <w:rPr/>
      </w:pPr>
      <w:r>
        <w:rPr/>
      </w:r>
    </w:p>
    <w:p>
      <w:pPr>
        <w:pStyle w:val="Normal"/>
        <w:rPr/>
      </w:pPr>
      <w:r>
        <w:rPr/>
        <w:t>BP speech at Oslo obtained promoting release gas.   To be discuss at Madrid conference.</w:t>
      </w:r>
    </w:p>
    <w:p>
      <w:pPr>
        <w:pStyle w:val="Normal"/>
        <w:rPr/>
      </w:pPr>
      <w:r>
        <w:rPr/>
        <w:t>Extensive GTE papers released on Tariffs, balancing, storage, interoperability etc.</w:t>
      </w:r>
    </w:p>
    <w:p>
      <w:pPr>
        <w:pStyle w:val="Normal"/>
        <w:rPr/>
      </w:pPr>
      <w:r>
        <w:rPr/>
      </w:r>
    </w:p>
    <w:p>
      <w:pPr>
        <w:pStyle w:val="Normal"/>
        <w:rPr/>
      </w:pPr>
      <w:r>
        <w:rPr/>
      </w:r>
    </w:p>
    <w:p>
      <w:pPr>
        <w:pStyle w:val="Normal"/>
        <w:rPr/>
      </w:pPr>
      <w:r>
        <w:rPr/>
      </w:r>
    </w:p>
    <w:p>
      <w:pPr>
        <w:pStyle w:val="Normal"/>
        <w:rPr/>
      </w:pPr>
      <w:r>
        <w:rPr/>
      </w:r>
    </w:p>
    <w:p>
      <w:pPr>
        <w:pStyle w:val="Normal"/>
        <w:numPr>
          <w:ilvl w:val="0"/>
          <w:numId w:val="5"/>
        </w:numPr>
        <w:rPr>
          <w:sz w:val="28"/>
        </w:rPr>
      </w:pPr>
      <w:r>
        <w:rPr>
          <w:b/>
          <w:bCs/>
          <w:sz w:val="28"/>
        </w:rPr>
        <w:t>Electricity:</w:t>
      </w:r>
    </w:p>
    <w:p>
      <w:pPr>
        <w:pStyle w:val="Normal"/>
        <w:autoSpaceDE w:val="false"/>
        <w:spacing w:lineRule="atLeast" w:line="240"/>
        <w:ind w:start="360" w:end="0"/>
        <w:rPr>
          <w:color w:val="000000"/>
          <w:szCs w:val="20"/>
          <w:lang w:val="en-US"/>
        </w:rPr>
      </w:pPr>
      <w:r>
        <w:rPr>
          <w:color w:val="000000"/>
          <w:szCs w:val="20"/>
          <w:lang w:val="en-US"/>
        </w:rPr>
        <w:t>On June 22 we submitted our comments regarding the proposed acquisition of Hidroelectrico del Cantabrico's stake by EnBW. Main concerns raised in the submissions included: the reinforcement of EdF's monopoly in France, threat to the competition in Spain, and further impediments to the fair and efficient allocation of the capacity at the French-Spanish border.</w:t>
      </w:r>
    </w:p>
    <w:p>
      <w:pPr>
        <w:pStyle w:val="Normal"/>
        <w:rPr>
          <w:color w:val="000000"/>
          <w:szCs w:val="20"/>
          <w:lang w:val="en-US"/>
        </w:rPr>
      </w:pPr>
      <w:r>
        <w:rPr>
          <w:color w:val="000000"/>
          <w:szCs w:val="20"/>
          <w:lang w:val="en-US"/>
        </w:rPr>
      </w:r>
    </w:p>
    <w:p>
      <w:pPr>
        <w:pStyle w:val="Normal"/>
        <w:rPr/>
      </w:pPr>
      <w:r>
        <w:rPr/>
      </w:r>
    </w:p>
    <w:p>
      <w:pPr>
        <w:pStyle w:val="Normal"/>
        <w:rPr/>
      </w:pPr>
      <w:r>
        <w:rPr/>
      </w:r>
    </w:p>
    <w:p>
      <w:pPr>
        <w:pStyle w:val="Normal"/>
        <w:rPr/>
      </w:pPr>
      <w:r>
        <w:rPr/>
      </w:r>
    </w:p>
    <w:p>
      <w:pPr>
        <w:pStyle w:val="Normal"/>
        <w:numPr>
          <w:ilvl w:val="0"/>
          <w:numId w:val="5"/>
        </w:numPr>
        <w:rPr>
          <w:sz w:val="28"/>
        </w:rPr>
      </w:pPr>
      <w:r>
        <w:rPr>
          <w:b/>
          <w:bCs/>
          <w:sz w:val="28"/>
        </w:rPr>
        <w:t>General Energy and Other:</w:t>
      </w:r>
    </w:p>
    <w:p>
      <w:pPr>
        <w:pStyle w:val="Normal"/>
        <w:rPr>
          <w:sz w:val="28"/>
        </w:rPr>
      </w:pPr>
      <w:r>
        <w:rPr>
          <w:sz w:val="28"/>
        </w:rPr>
      </w:r>
    </w:p>
    <w:p>
      <w:pPr>
        <w:pStyle w:val="Normal"/>
        <w:autoSpaceDE w:val="false"/>
        <w:spacing w:lineRule="atLeast" w:line="240"/>
        <w:ind w:start="288" w:end="0"/>
        <w:rPr>
          <w:color w:val="000000"/>
          <w:szCs w:val="28"/>
          <w:lang w:val="en-US"/>
        </w:rPr>
      </w:pPr>
      <w:r>
        <w:rPr>
          <w:color w:val="000000"/>
          <w:szCs w:val="28"/>
          <w:lang w:val="en-US"/>
        </w:rPr>
        <w:t>Report on the Commission Meeting of 20 June: implications for EdF and liberalisation timetable.</w:t>
      </w:r>
    </w:p>
    <w:p>
      <w:pPr>
        <w:pStyle w:val="Normal"/>
        <w:autoSpaceDE w:val="false"/>
        <w:spacing w:lineRule="atLeast" w:line="240"/>
        <w:ind w:start="288" w:end="0"/>
        <w:rPr>
          <w:color w:val="000000"/>
          <w:szCs w:val="28"/>
          <w:lang w:val="en-US"/>
        </w:rPr>
      </w:pPr>
      <w:r>
        <w:rPr>
          <w:color w:val="000000"/>
          <w:szCs w:val="28"/>
          <w:lang w:val="en-US"/>
        </w:rPr>
      </w:r>
    </w:p>
    <w:p>
      <w:pPr>
        <w:pStyle w:val="BodyTextIndent"/>
        <w:rPr/>
      </w:pPr>
      <w:r>
        <w:rPr/>
        <w:t>On June 20 the Commission had a discussion regarding restrictions on the movement of capital in the EU (related to the EdF's acquisition efforts in Italy and Spain). The discussion also covered assymetric opening of the energy markets in the EU. In this regard, the Commission promised that it would seriously consider adopting its own legislative proposal (under the Treaty provisions) on further liberalisation of energy markets  if the Parliament and the Council delay the adoption of this proposal. We have got the minutes of the Commission's meeting.</w:t>
      </w:r>
    </w:p>
    <w:p>
      <w:pPr>
        <w:pStyle w:val="Normal"/>
        <w:autoSpaceDE w:val="false"/>
        <w:spacing w:lineRule="atLeast" w:line="240"/>
        <w:rPr>
          <w:color w:val="000000"/>
          <w:szCs w:val="20"/>
          <w:lang w:val="en-US"/>
        </w:rPr>
      </w:pPr>
      <w:r>
        <w:rPr>
          <w:color w:val="000000"/>
          <w:szCs w:val="20"/>
          <w:lang w:val="en-US"/>
        </w:rPr>
      </w:r>
    </w:p>
    <w:p>
      <w:pPr>
        <w:pStyle w:val="Normal"/>
        <w:rPr>
          <w:color w:val="000000"/>
          <w:szCs w:val="20"/>
          <w:lang w:val="en-US"/>
        </w:rPr>
      </w:pPr>
      <w:r>
        <w:rPr>
          <w:color w:val="000000"/>
          <w:szCs w:val="20"/>
          <w:lang w:val="en-US"/>
        </w:rPr>
      </w:r>
    </w:p>
    <w:p>
      <w:pPr>
        <w:pStyle w:val="Normal"/>
        <w:rPr/>
      </w:pPr>
      <w:r>
        <w:rPr/>
      </w:r>
    </w:p>
    <w:p>
      <w:pPr>
        <w:pStyle w:val="Normal"/>
        <w:rPr/>
      </w:pPr>
      <w:r>
        <w:rPr/>
      </w:r>
    </w:p>
    <w:p>
      <w:pPr>
        <w:pStyle w:val="Normal"/>
        <w:pBdr>
          <w:bottom w:val="single" w:sz="12" w:space="1" w:color="000000"/>
        </w:pBdr>
        <w:rPr/>
      </w:pPr>
      <w:r>
        <w:rPr/>
      </w:r>
    </w:p>
    <w:p>
      <w:pPr>
        <w:pStyle w:val="Normal"/>
        <w:rPr/>
      </w:pPr>
      <w:r>
        <w:rPr/>
      </w:r>
    </w:p>
    <w:p>
      <w:pPr>
        <w:pStyle w:val="Normal"/>
        <w:rPr/>
      </w:pPr>
      <w:r>
        <w:rPr/>
      </w:r>
    </w:p>
    <w:p>
      <w:pPr>
        <w:pStyle w:val="Heading2"/>
        <w:ind w:hanging="0" w:start="0"/>
        <w:rPr>
          <w:sz w:val="32"/>
        </w:rPr>
      </w:pPr>
      <w:r>
        <w:rPr>
          <w:sz w:val="32"/>
        </w:rPr>
        <w:t>European Gas</w:t>
      </w:r>
    </w:p>
    <w:p>
      <w:pPr>
        <w:pStyle w:val="Normal"/>
        <w:numPr>
          <w:ilvl w:val="0"/>
          <w:numId w:val="2"/>
        </w:numPr>
        <w:rPr>
          <w:sz w:val="28"/>
        </w:rPr>
      </w:pPr>
      <w:r>
        <w:rPr>
          <w:b/>
          <w:bCs/>
          <w:sz w:val="28"/>
        </w:rPr>
        <w:t>Spain:</w:t>
      </w:r>
    </w:p>
    <w:p>
      <w:pPr>
        <w:pStyle w:val="Normal"/>
        <w:rPr>
          <w:sz w:val="28"/>
        </w:rPr>
      </w:pPr>
      <w:r>
        <w:rPr>
          <w:sz w:val="28"/>
        </w:rPr>
      </w:r>
    </w:p>
    <w:p>
      <w:pPr>
        <w:pStyle w:val="Normal"/>
        <w:rPr/>
      </w:pPr>
      <w:r>
        <w:rPr/>
        <w:t>Comments submitted internally on Enagas regasification and transportation draft contracts.</w:t>
      </w:r>
    </w:p>
    <w:p>
      <w:pPr>
        <w:pStyle w:val="Normal"/>
        <w:rPr/>
      </w:pPr>
      <w:r>
        <w:rPr/>
      </w:r>
    </w:p>
    <w:p>
      <w:pPr>
        <w:pStyle w:val="Normal"/>
        <w:rPr/>
      </w:pPr>
      <w:r>
        <w:rPr/>
        <w:t>On going TPA gas negotiations with Enagas.</w:t>
      </w:r>
    </w:p>
    <w:p>
      <w:pPr>
        <w:pStyle w:val="Normal"/>
        <w:rPr/>
      </w:pPr>
      <w:r>
        <w:rPr/>
      </w:r>
    </w:p>
    <w:p>
      <w:pPr>
        <w:pStyle w:val="Normal"/>
        <w:numPr>
          <w:ilvl w:val="0"/>
          <w:numId w:val="2"/>
        </w:numPr>
        <w:rPr>
          <w:sz w:val="28"/>
        </w:rPr>
      </w:pPr>
      <w:r>
        <w:rPr>
          <w:b/>
          <w:bCs/>
          <w:sz w:val="28"/>
        </w:rPr>
        <w:t>Norway:</w:t>
      </w:r>
    </w:p>
    <w:p>
      <w:pPr>
        <w:pStyle w:val="Normal"/>
        <w:rPr>
          <w:sz w:val="28"/>
        </w:rPr>
      </w:pPr>
      <w:r>
        <w:rPr>
          <w:sz w:val="28"/>
        </w:rPr>
      </w:r>
    </w:p>
    <w:p>
      <w:pPr>
        <w:pStyle w:val="Normal"/>
        <w:rPr/>
      </w:pPr>
      <w:r>
        <w:rPr/>
        <w:t>Met with members of Petroleum/Energy ministry.</w:t>
      </w:r>
    </w:p>
    <w:p>
      <w:pPr>
        <w:pStyle w:val="Normal"/>
        <w:rPr>
          <w:sz w:val="28"/>
        </w:rPr>
      </w:pPr>
      <w:r>
        <w:rPr>
          <w:sz w:val="28"/>
        </w:rPr>
      </w:r>
    </w:p>
    <w:p>
      <w:pPr>
        <w:pStyle w:val="Normal"/>
        <w:rPr>
          <w:b/>
          <w:bCs/>
          <w:sz w:val="28"/>
        </w:rPr>
      </w:pPr>
      <w:r>
        <w:rPr>
          <w:b/>
          <w:bCs/>
          <w:sz w:val="28"/>
        </w:rPr>
        <w:t>Netherlands:</w:t>
      </w:r>
    </w:p>
    <w:p>
      <w:pPr>
        <w:pStyle w:val="Normal"/>
        <w:rPr>
          <w:b/>
          <w:bCs/>
          <w:sz w:val="28"/>
        </w:rPr>
      </w:pPr>
      <w:r>
        <w:rPr>
          <w:b/>
          <w:bCs/>
          <w:sz w:val="28"/>
        </w:rPr>
      </w:r>
    </w:p>
    <w:p>
      <w:pPr>
        <w:pStyle w:val="Normal"/>
        <w:rPr/>
      </w:pPr>
      <w:r>
        <w:rPr/>
        <w:t>Dte gas guidelines released in Dutch ; English version to be available Monday.  Schedule of meetings throughout July.</w:t>
      </w:r>
    </w:p>
    <w:p>
      <w:pPr>
        <w:pStyle w:val="Normal"/>
        <w:rPr/>
      </w:pPr>
      <w:r>
        <w:rPr/>
      </w:r>
    </w:p>
    <w:p>
      <w:pPr>
        <w:pStyle w:val="Normal"/>
        <w:rPr>
          <w:szCs w:val="20"/>
          <w:lang w:val="en-US"/>
        </w:rPr>
      </w:pPr>
      <w:r>
        <w:rPr>
          <w:szCs w:val="20"/>
          <w:lang w:val="en-US"/>
        </w:rPr>
        <w:t>Preparation reactions on Gas consultation documents setting guidelines for 2002.</w:t>
        <w:br/>
      </w:r>
    </w:p>
    <w:p>
      <w:pPr>
        <w:pStyle w:val="Normal"/>
        <w:autoSpaceDE w:val="false"/>
        <w:rPr>
          <w:szCs w:val="20"/>
          <w:lang w:val="en-US"/>
        </w:rPr>
      </w:pPr>
      <w:r>
        <w:rPr>
          <w:szCs w:val="20"/>
          <w:lang w:val="en-US"/>
        </w:rPr>
        <w:t>Info required from TSO's in Europe to facilitate market transparency.</w:t>
        <w:br/>
        <w:t>Develop a European wide view on what info is needed in various markets. Sources: TSO experiences all over Europe, Littlechild,  Brattle, etc.</w:t>
        <w:br/>
      </w:r>
    </w:p>
    <w:p>
      <w:pPr>
        <w:pStyle w:val="Normal"/>
        <w:rPr>
          <w:szCs w:val="20"/>
          <w:lang w:val="en-US"/>
        </w:rPr>
      </w:pPr>
      <w:r>
        <w:rPr>
          <w:szCs w:val="20"/>
          <w:lang w:val="en-US"/>
        </w:rPr>
        <w:t>TenneT- Elia announcement on integrated Benelux market</w:t>
        <w:br/>
      </w:r>
    </w:p>
    <w:p>
      <w:pPr>
        <w:pStyle w:val="Normal"/>
        <w:pBdr>
          <w:bottom w:val="single" w:sz="12" w:space="1" w:color="000000"/>
        </w:pBdr>
        <w:rPr/>
      </w:pPr>
      <w:r>
        <w:rPr/>
      </w:r>
    </w:p>
    <w:p>
      <w:pPr>
        <w:pStyle w:val="Normal"/>
        <w:rPr/>
      </w:pPr>
      <w:r>
        <w:rPr/>
      </w:r>
    </w:p>
    <w:p>
      <w:pPr>
        <w:pStyle w:val="Heading2"/>
        <w:ind w:hanging="0" w:start="0"/>
        <w:rPr>
          <w:sz w:val="32"/>
        </w:rPr>
      </w:pPr>
      <w:r>
        <w:rPr>
          <w:sz w:val="32"/>
        </w:rPr>
        <w:t>European Electricity</w:t>
      </w:r>
    </w:p>
    <w:p>
      <w:pPr>
        <w:pStyle w:val="Normal"/>
        <w:rPr>
          <w:sz w:val="32"/>
        </w:rPr>
      </w:pPr>
      <w:r>
        <w:rPr>
          <w:sz w:val="32"/>
        </w:rPr>
      </w:r>
    </w:p>
    <w:p>
      <w:pPr>
        <w:pStyle w:val="Normal"/>
        <w:numPr>
          <w:ilvl w:val="0"/>
          <w:numId w:val="2"/>
        </w:numPr>
        <w:rPr>
          <w:sz w:val="28"/>
        </w:rPr>
      </w:pPr>
      <w:r>
        <w:rPr>
          <w:b/>
          <w:bCs/>
          <w:sz w:val="28"/>
        </w:rPr>
        <w:t>France:</w:t>
      </w:r>
    </w:p>
    <w:p>
      <w:pPr>
        <w:pStyle w:val="Normal"/>
        <w:rPr>
          <w:sz w:val="28"/>
        </w:rPr>
      </w:pPr>
      <w:r>
        <w:rPr>
          <w:sz w:val="28"/>
        </w:rPr>
      </w:r>
    </w:p>
    <w:p>
      <w:pPr>
        <w:pStyle w:val="Normal"/>
        <w:rPr>
          <w:szCs w:val="20"/>
          <w:lang w:val="en-US"/>
        </w:rPr>
      </w:pPr>
      <w:r>
        <w:rPr>
          <w:szCs w:val="20"/>
          <w:lang w:val="en-US"/>
        </w:rPr>
        <w:t>-worked on answers to the Commission questionnaire regarding EdF and Hidroelectrica del Cantabrico</w:t>
      </w:r>
    </w:p>
    <w:p>
      <w:pPr>
        <w:pStyle w:val="Normal"/>
        <w:rPr>
          <w:szCs w:val="20"/>
          <w:lang w:val="en-US"/>
        </w:rPr>
      </w:pPr>
      <w:r>
        <w:rPr>
          <w:szCs w:val="20"/>
          <w:lang w:val="en-US"/>
        </w:rPr>
      </w:r>
    </w:p>
    <w:p>
      <w:pPr>
        <w:pStyle w:val="Normal"/>
        <w:rPr/>
      </w:pPr>
      <w:r>
        <w:rPr/>
      </w:r>
    </w:p>
    <w:p>
      <w:pPr>
        <w:pStyle w:val="Normal"/>
        <w:rPr/>
      </w:pPr>
      <w:r>
        <w:rPr/>
      </w:r>
    </w:p>
    <w:p>
      <w:pPr>
        <w:pStyle w:val="Normal"/>
        <w:rPr>
          <w:b/>
          <w:bCs/>
          <w:sz w:val="28"/>
        </w:rPr>
      </w:pPr>
      <w:r>
        <w:rPr>
          <w:b/>
          <w:bCs/>
          <w:sz w:val="28"/>
        </w:rPr>
        <w:t>Spain:</w:t>
      </w:r>
    </w:p>
    <w:p>
      <w:pPr>
        <w:pStyle w:val="Normal"/>
        <w:rPr>
          <w:b/>
          <w:bCs/>
          <w:sz w:val="28"/>
        </w:rPr>
      </w:pPr>
      <w:r>
        <w:rPr>
          <w:b/>
          <w:bCs/>
          <w:sz w:val="28"/>
        </w:rPr>
      </w:r>
    </w:p>
    <w:p>
      <w:pPr>
        <w:pStyle w:val="Normal"/>
        <w:rPr/>
      </w:pPr>
      <w:r>
        <w:rPr/>
        <w:t xml:space="preserve">Preparation of the ACIE media event </w:t>
      </w:r>
    </w:p>
    <w:p>
      <w:pPr>
        <w:pStyle w:val="Normal"/>
        <w:rPr/>
      </w:pPr>
      <w:r>
        <w:rPr/>
      </w:r>
    </w:p>
    <w:p>
      <w:pPr>
        <w:pStyle w:val="Normal"/>
        <w:rPr>
          <w:sz w:val="28"/>
        </w:rPr>
      </w:pPr>
      <w:r>
        <w:rPr/>
        <w:t>Analysis of the renewables’ premium mechanism adjustment</w:t>
      </w:r>
    </w:p>
    <w:p>
      <w:pPr>
        <w:pStyle w:val="Normal"/>
        <w:rPr>
          <w:sz w:val="28"/>
        </w:rPr>
      </w:pPr>
      <w:r>
        <w:rPr>
          <w:sz w:val="28"/>
        </w:rPr>
      </w:r>
    </w:p>
    <w:p>
      <w:pPr>
        <w:pStyle w:val="Normal"/>
        <w:rPr/>
      </w:pPr>
      <w:r>
        <w:rPr/>
      </w:r>
    </w:p>
    <w:p>
      <w:pPr>
        <w:pStyle w:val="Normal"/>
        <w:rPr/>
      </w:pPr>
      <w:r>
        <w:rPr/>
      </w:r>
    </w:p>
    <w:p>
      <w:pPr>
        <w:pStyle w:val="Normal"/>
        <w:pBdr>
          <w:bottom w:val="single" w:sz="12" w:space="1" w:color="000000"/>
        </w:pBdr>
        <w:rPr/>
      </w:pPr>
      <w:r>
        <w:rPr/>
      </w:r>
    </w:p>
    <w:p>
      <w:pPr>
        <w:pStyle w:val="Normal"/>
        <w:rPr/>
      </w:pPr>
      <w:r>
        <w:rPr/>
      </w:r>
    </w:p>
    <w:p>
      <w:pPr>
        <w:pStyle w:val="Heading3"/>
        <w:ind w:hanging="0" w:start="0"/>
        <w:rPr>
          <w:sz w:val="32"/>
        </w:rPr>
      </w:pPr>
      <w:r>
        <w:rPr>
          <w:sz w:val="32"/>
        </w:rPr>
        <w:t>Central &amp; Eastern European Gas &amp; Electricity</w:t>
      </w:r>
    </w:p>
    <w:p>
      <w:pPr>
        <w:pStyle w:val="Normal"/>
        <w:rPr>
          <w:sz w:val="32"/>
        </w:rPr>
      </w:pPr>
      <w:r>
        <w:rPr>
          <w:sz w:val="32"/>
        </w:rPr>
      </w:r>
    </w:p>
    <w:p>
      <w:pPr>
        <w:pStyle w:val="Normal"/>
        <w:autoSpaceDE w:val="false"/>
        <w:spacing w:lineRule="atLeast" w:line="240"/>
        <w:ind w:start="288" w:end="0"/>
        <w:rPr>
          <w:color w:val="000000"/>
          <w:lang w:val="en-US"/>
        </w:rPr>
      </w:pPr>
      <w:r>
        <w:rPr>
          <w:color w:val="000000"/>
          <w:lang w:val="en-US"/>
        </w:rPr>
        <w:t>Audit of energy and competition rules in accession states. (BD and ND)</w:t>
      </w:r>
    </w:p>
    <w:p>
      <w:pPr>
        <w:pStyle w:val="Normal"/>
        <w:rPr/>
      </w:pPr>
      <w:r>
        <w:rPr/>
      </w:r>
    </w:p>
    <w:p>
      <w:pPr>
        <w:pStyle w:val="Normal"/>
        <w:rPr/>
      </w:pPr>
      <w:r>
        <w:rPr/>
      </w:r>
    </w:p>
    <w:p>
      <w:pPr>
        <w:pStyle w:val="Heading4"/>
        <w:ind w:hanging="0" w:start="0"/>
        <w:rPr/>
      </w:pPr>
      <w:r>
        <w:rPr/>
        <w:t>Renewables</w:t>
      </w:r>
    </w:p>
    <w:p>
      <w:pPr>
        <w:pStyle w:val="Normal"/>
        <w:autoSpaceDE w:val="false"/>
        <w:rPr>
          <w:rFonts w:ascii="Arial" w:hAnsi="Arial" w:cs="Arial"/>
          <w:sz w:val="20"/>
          <w:szCs w:val="20"/>
          <w:lang w:val="en-US"/>
        </w:rPr>
      </w:pPr>
      <w:r>
        <w:rPr>
          <w:rFonts w:cs="Arial" w:ascii="Arial" w:hAnsi="Arial"/>
          <w:sz w:val="20"/>
          <w:szCs w:val="20"/>
          <w:lang w:val="en-US"/>
        </w:rPr>
      </w:r>
    </w:p>
    <w:p>
      <w:pPr>
        <w:pStyle w:val="Normal"/>
        <w:autoSpaceDE w:val="false"/>
        <w:rPr>
          <w:szCs w:val="20"/>
          <w:lang w:val="en-US"/>
        </w:rPr>
      </w:pPr>
      <w:r>
        <w:rPr>
          <w:szCs w:val="20"/>
          <w:lang w:val="en-US"/>
        </w:rPr>
        <w:t>Belgium - Finished letter for the CREG with respect their proposed legislation on Renewable certificates.  Once again we stressed the fact that they should be open to international trade because the obligation to buy a certain number of certificates will hardly be met by national renewable production.</w:t>
      </w:r>
    </w:p>
    <w:p>
      <w:pPr>
        <w:pStyle w:val="Normal"/>
        <w:autoSpaceDE w:val="false"/>
        <w:rPr>
          <w:szCs w:val="20"/>
          <w:lang w:val="en-US"/>
        </w:rPr>
      </w:pPr>
      <w:r>
        <w:rPr>
          <w:szCs w:val="20"/>
          <w:lang w:val="en-US"/>
        </w:rPr>
      </w:r>
    </w:p>
    <w:p>
      <w:pPr>
        <w:pStyle w:val="Normal"/>
        <w:rPr>
          <w:b/>
          <w:bCs/>
          <w:sz w:val="32"/>
          <w:szCs w:val="20"/>
          <w:u w:val="single"/>
          <w:lang w:val="en-US"/>
        </w:rPr>
      </w:pPr>
      <w:r>
        <w:rPr>
          <w:b/>
          <w:bCs/>
          <w:sz w:val="32"/>
          <w:szCs w:val="20"/>
          <w:u w:val="single"/>
          <w:lang w:val="en-US"/>
        </w:rPr>
      </w:r>
    </w:p>
    <w:sectPr>
      <w:type w:val="nextPage"/>
      <w:pgSz w:w="12240" w:h="15840"/>
      <w:pgMar w:left="1728" w:right="1728"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sz w:val="28"/>
      <w:u w:val="single"/>
    </w:rPr>
  </w:style>
  <w:style w:type="paragraph" w:styleId="Heading4">
    <w:name w:val="heading 4"/>
    <w:basedOn w:val="Normal"/>
    <w:next w:val="Normal"/>
    <w:qFormat/>
    <w:pPr>
      <w:keepNext w:val="true"/>
      <w:numPr>
        <w:ilvl w:val="3"/>
        <w:numId w:val="1"/>
      </w:numPr>
      <w:outlineLvl w:val="3"/>
    </w:pPr>
    <w:rPr>
      <w:b/>
      <w:bCs/>
      <w:sz w:val="32"/>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8z0">
    <w:name w:val="WW8NumSt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360" w:end="0"/>
    </w:pPr>
    <w:rPr>
      <w:color w:val="000000"/>
      <w:szCs w:val="20"/>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2001-06-25T07:24:00Z</dcterms:created>
  <dc:creator>kirwin</dc:creator>
  <dc:description/>
  <dc:language>en-CA</dc:language>
  <cp:lastModifiedBy>mglen</cp:lastModifiedBy>
  <cp:lastPrinted>2001-06-25T12:20:00Z</cp:lastPrinted>
  <dcterms:modified xsi:type="dcterms:W3CDTF">2001-06-25T09:28:00Z</dcterms:modified>
  <cp:revision>3</cp:revision>
  <dc:subject/>
  <dc:title>Government &amp; Regulatory Affairs Team Mtg</dc:title>
</cp:coreProperties>
</file>