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369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78"/>
        <w:gridCol w:w="4680"/>
        <w:gridCol w:w="4140"/>
      </w:tblGrid>
      <w:tr>
        <w:trPr>
          <w:trHeight w:val="260" w:hRule="atLeast"/>
        </w:trPr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Objective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Measure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Completion</w:t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 Assure success of 30 day Supply Initiative by providing resources and leadership to meet financial goal of the project.</w:t>
            </w:r>
          </w:p>
          <w:p>
            <w:pPr>
              <w:pStyle w:val="Normal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cs="Arial" w:ascii="Arial" w:hAnsi="Arial"/>
                <w:sz w:val="24"/>
                <w:lang w:eastAsia="en-US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Value of material collected, sold and monetized.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June 30,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  <w:t>Status: All audits completed. Valuation underway.  $ 169,000 re-deployed and $18.5 million booked in 3 rd quarter.</w:t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 Reduce standby parts inventory by 20%.</w:t>
            </w:r>
          </w:p>
          <w:p>
            <w:pPr>
              <w:pStyle w:val="Normal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cs="Arial" w:ascii="Arial" w:hAnsi="Arial"/>
                <w:sz w:val="24"/>
                <w:lang w:eastAsia="en-US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Comparison of standby inventory in SAP on Jan 1. Vs yearend.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December 31, 2000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  <w:t>Status: $1.183 reduction YTD.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 Reduce x-warehouse inventory by $250,000.</w:t>
            </w:r>
          </w:p>
          <w:p>
            <w:pPr>
              <w:pStyle w:val="Normal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cs="Arial" w:ascii="Arial" w:hAnsi="Arial"/>
                <w:sz w:val="24"/>
                <w:lang w:eastAsia="en-US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Comparison of x-warehouse inventory in SAP on Jan 1. Vs yearend.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December 31, 2000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  <w:t>Status: YTD reduction is $465,000.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4. Sell </w:t>
            </w:r>
            <w:r>
              <w:rPr>
                <w:sz w:val="24"/>
                <w:lang w:eastAsia="en-US"/>
              </w:rPr>
              <w:t>$1,000,000 of surplus and scrap-end material.</w:t>
            </w:r>
          </w:p>
          <w:p>
            <w:pPr>
              <w:pStyle w:val="Normal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cs="Arial" w:ascii="Arial" w:hAnsi="Arial"/>
                <w:sz w:val="24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Monthly reporting of surplus sales activity. 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December 31, 2000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  <w:t xml:space="preserve">Status: Sales for cash to third party YTD $606,000.  Total credit towards this objective which reduces real cash outlay is $1.4 million. </w:t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 Improve personnel performance by providing training in SAP analytical tools and excel and word programs.</w:t>
            </w:r>
          </w:p>
          <w:p>
            <w:pPr>
              <w:pStyle w:val="Normal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cs="Arial" w:ascii="Arial" w:hAnsi="Arial"/>
                <w:sz w:val="24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Completion of training-ability of staff to use software.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August 30, 2000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  <w:t>Status: SAP training performed at all CDCs.  Excel training provided to Roswell, Liberal and Gt. Bend.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 Implement one technology project which improves purchasing or materials management processes.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cs="Arial" w:ascii="Arial" w:hAnsi="Arial"/>
                <w:sz w:val="24"/>
                <w:lang w:eastAsia="en-US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Completed project that meets or exceeds stated results.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December 31,2000</w:t>
            </w:r>
          </w:p>
          <w:p>
            <w:pPr>
              <w:pStyle w:val="BodyText"/>
              <w:rPr/>
            </w:pPr>
            <w:r>
              <w:rPr/>
              <w:t xml:space="preserve">Status: Posted excess material for sale on ePurchase.com using banners and ads to attract buyers of surplus material.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 Qualify and/or develop one new minority vendor by July 2000.</w:t>
            </w:r>
          </w:p>
          <w:p>
            <w:pPr>
              <w:pStyle w:val="Normal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cs="Arial" w:ascii="Arial" w:hAnsi="Arial"/>
                <w:sz w:val="24"/>
                <w:lang w:eastAsia="en-US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Dollars spent with new minority vendor.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December 31, 2000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  <w:t>Status: Purchase  3 electric heaters from Tempco Electric Heating. Vendor being certified by Cal Eakins.</w:t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8. Improve communications with CDC teams by increasing face to face contact time.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Improvement recognized through upward feedback.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December 31, 2000</w:t>
            </w:r>
          </w:p>
          <w:p>
            <w:pPr>
              <w:pStyle w:val="BodyText"/>
              <w:rPr/>
            </w:pPr>
            <w:r>
              <w:rPr/>
              <w:t>Status: Increased visits to CDCs.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9. Improve the effectiveness of the Omaha purchasing team by aligning daily practices with customer processes and procedures.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Customer feedback.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Work output metrics.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December 31, 2000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  <w:t>Status: Omaha team aligned with E&amp;C to serve customer on a total project basis.  Expediting for NPA materials delegated to CDC who does the receiving, but overall responsibility stays with the buyer.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10. Improve the inventory quality by implementing “best practices” for inventory management at CDCs.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Inventory metrics reported monthly.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July 31, 2000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  <w:t xml:space="preserve">Status:  Set up routine physical count program at CDCs.  Set up audit program to verify physical counts.  </w:t>
            </w:r>
          </w:p>
          <w:p>
            <w:pPr>
              <w:pStyle w:val="Normal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type w:val="nextPage"/>
      <w:pgSz w:orient="landscape" w:w="15840" w:h="12240"/>
      <w:pgMar w:left="720" w:right="792" w:gutter="0" w:header="432" w:top="488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24"/>
      </w:rPr>
    </w:pPr>
    <w:r>
      <w:rPr>
        <w:rFonts w:cs="Arial" w:ascii="Arial" w:hAnsi="Arial"/>
        <w:b/>
        <w:sz w:val="24"/>
      </w:rPr>
      <w:t xml:space="preserve">ET&amp;S and NBPL </w:t>
    </w:r>
  </w:p>
  <w:p>
    <w:pPr>
      <w:pStyle w:val="Header"/>
      <w:jc w:val="center"/>
      <w:rPr>
        <w:rFonts w:ascii="Arial" w:hAnsi="Arial" w:cs="Arial"/>
        <w:b/>
        <w:sz w:val="24"/>
      </w:rPr>
    </w:pPr>
    <w:r>
      <w:rPr>
        <w:rFonts w:cs="Arial" w:ascii="Arial" w:hAnsi="Arial"/>
        <w:b/>
        <w:sz w:val="24"/>
      </w:rPr>
      <w:t>2000 OBJECTIVES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Times New Roman" w:hAnsi="Times New Roman" w:cs="Times New Roman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Times New Roman" w:hAnsi="Times New Roman" w:cs="Times New Roman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Times New Roman" w:hAnsi="Times New Roman" w:cs="Times New Roman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Monotype Sorts" w:hAnsi="Monotype Sorts" w:cs="Monotype Sorts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Times New Roman" w:hAnsi="Times New Roman" w:cs="Times New Roman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Times New Roman" w:hAnsi="Times New Roman" w:cs="Times New Roman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Times New Roman" w:hAnsi="Times New Roman" w:cs="Times New Roman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Symbol" w:hAnsi="Symbol" w:cs="Symbol"/>
    </w:rPr>
  </w:style>
  <w:style w:type="character" w:styleId="WW8Num94z0">
    <w:name w:val="WW8Num94z0"/>
    <w:qFormat/>
    <w:rPr>
      <w:rFonts w:ascii="Symbol" w:hAnsi="Symbol" w:cs="Symbol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Symbol" w:hAnsi="Symbol" w:cs="Symbol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100z0">
    <w:name w:val="WW8Num100z0"/>
    <w:qFormat/>
    <w:rPr>
      <w:rFonts w:ascii="Symbol" w:hAnsi="Symbol" w:cs="Symbol"/>
    </w:rPr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Symbol" w:hAnsi="Symbol" w:cs="Symbol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Symbol" w:hAnsi="Symbol" w:cs="Symbol"/>
    </w:rPr>
  </w:style>
  <w:style w:type="character" w:styleId="WW8Num108z0">
    <w:name w:val="WW8Num108z0"/>
    <w:qFormat/>
    <w:rPr>
      <w:rFonts w:ascii="Symbol" w:hAnsi="Symbol" w:cs="Symbol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10z0">
    <w:name w:val="WW8Num110z0"/>
    <w:qFormat/>
    <w:rPr>
      <w:rFonts w:ascii="Symbol" w:hAnsi="Symbol" w:cs="Symbol"/>
    </w:rPr>
  </w:style>
  <w:style w:type="character" w:styleId="WW8Num111z0">
    <w:name w:val="WW8Num111z0"/>
    <w:qFormat/>
    <w:rPr>
      <w:rFonts w:ascii="Symbol" w:hAnsi="Symbol" w:cs="Symbol"/>
    </w:rPr>
  </w:style>
  <w:style w:type="character" w:styleId="WW8Num112z0">
    <w:name w:val="WW8Num112z0"/>
    <w:qFormat/>
    <w:rPr>
      <w:rFonts w:ascii="Symbol" w:hAnsi="Symbol" w:cs="Symbol"/>
    </w:rPr>
  </w:style>
  <w:style w:type="character" w:styleId="WW8Num113z0">
    <w:name w:val="WW8Num113z0"/>
    <w:qFormat/>
    <w:rPr>
      <w:rFonts w:ascii="Times New Roman" w:hAnsi="Times New Roman" w:cs="Times New Roman"/>
    </w:rPr>
  </w:style>
  <w:style w:type="character" w:styleId="WW8Num114z0">
    <w:name w:val="WW8Num114z0"/>
    <w:qFormat/>
    <w:rPr>
      <w:rFonts w:ascii="Symbol" w:hAnsi="Symbol" w:cs="Symbol"/>
    </w:rPr>
  </w:style>
  <w:style w:type="character" w:styleId="WW8Num115z0">
    <w:name w:val="WW8Num115z0"/>
    <w:qFormat/>
    <w:rPr>
      <w:rFonts w:ascii="Symbol" w:hAnsi="Symbol" w:cs="Symbol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40"/>
    </w:rPr>
  </w:style>
  <w:style w:type="paragraph" w:styleId="BodyText">
    <w:name w:val="Body Text"/>
    <w:basedOn w:val="Normal"/>
    <w:pPr/>
    <w:rPr>
      <w:rFonts w:ascii="Arial" w:hAnsi="Arial" w:cs="Arial"/>
      <w:color w:val="0000FF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2000-11-16T16:18:00Z</dcterms:created>
  <dc:creator>User</dc:creator>
  <dc:description/>
  <dc:language>en-CA</dc:language>
  <cp:lastModifiedBy>Enron</cp:lastModifiedBy>
  <cp:lastPrinted>1999-11-30T18:01:00Z</cp:lastPrinted>
  <dcterms:modified xsi:type="dcterms:W3CDTF">2000-11-16T16:19:00Z</dcterms:modified>
  <cp:revision>5</cp:revision>
  <dc:subject/>
  <dc:title>1999 GPG CONTINUOUS IMPROVEMENT SCORECARD</dc:title>
</cp:coreProperties>
</file>