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980" w:type="dxa"/>
        <w:jc w:val="center"/>
        <w:tblInd w:w="0" w:type="dxa"/>
        <w:tblLayout w:type="fixed"/>
        <w:tblCellMar>
          <w:top w:w="0" w:type="dxa"/>
          <w:start w:w="108" w:type="dxa"/>
          <w:bottom w:w="0" w:type="dxa"/>
          <w:end w:w="108" w:type="dxa"/>
        </w:tblCellMar>
      </w:tblPr>
      <w:tblGrid>
        <w:gridCol w:w="9000"/>
        <w:gridCol w:w="490"/>
        <w:gridCol w:w="490"/>
      </w:tblGrid>
      <w:tr>
        <w:trPr/>
        <w:tc>
          <w:tcPr>
            <w:tcW w:w="9000" w:type="dxa"/>
            <w:tcBorders/>
          </w:tcPr>
          <w:p>
            <w:pPr>
              <w:pStyle w:val="PrelimTitle"/>
              <w:widowControl/>
              <w:rPr/>
            </w:pPr>
            <w:r>
              <w:rPr/>
              <w:t>L.</w:t>
              <w:tab/>
              <w:t>BALANCING CHARGE ACCOUNT (BCA)</w:t>
            </w:r>
          </w:p>
          <w:p>
            <w:pPr>
              <w:pStyle w:val="Level1"/>
              <w:widowControl/>
              <w:rPr/>
            </w:pPr>
            <w:r>
              <w:rPr/>
              <w:t>1.</w:t>
              <w:tab/>
              <w:t xml:space="preserve">PURPOSE:  The purpose of the BCA is to record the revenue and cost associated with providing balancing service, including penalties and credits per Rule 14, </w:t>
            </w:r>
            <w:r>
              <w:rPr>
                <w:b/>
                <w:bCs/>
              </w:rPr>
              <w:t xml:space="preserve">and a portion of transaction fee revenue from </w:t>
            </w:r>
            <w:r>
              <w:rPr>
                <w:b/>
                <w:bCs/>
                <w:i/>
                <w:iCs/>
                <w:color w:val="FF0000"/>
                <w:u w:val="single"/>
              </w:rPr>
              <w:t>services offered by</w:t>
            </w:r>
            <w:r>
              <w:rPr>
                <w:b/>
                <w:bCs/>
                <w:color w:val="FF0000"/>
                <w:u w:val="single"/>
              </w:rPr>
              <w:t xml:space="preserve"> </w:t>
            </w:r>
            <w:r>
              <w:rPr>
                <w:b/>
                <w:bCs/>
              </w:rPr>
              <w:t>an authorized Third Party Service Provider (TPSP) as described in Schedule G-BAL, Rule 14 and Rule 21</w:t>
            </w:r>
            <w:ins w:id="0" w:author="Patrick Hoglund" w:date="2000-05-24T08:28:00Z">
              <w:r>
                <w:rPr>
                  <w:b/>
                  <w:bCs/>
                </w:rPr>
                <w:t>.2</w:t>
              </w:r>
            </w:ins>
            <w:ins w:id="1" w:author="Patrick Hoglund" w:date="2000-05-24T15:36:00Z">
              <w:r>
                <w:rPr>
                  <w:b/>
                  <w:bCs/>
                </w:rPr>
                <w:t xml:space="preserve"> and as authorized by the CPUC</w:t>
              </w:r>
            </w:ins>
            <w:r>
              <w:rPr/>
              <w:t>.  The balance in this account will be incorporated into core and noncore transportation rates as determined in PG&amp;E’s next Cost Allocation Proceeding.</w:t>
            </w:r>
          </w:p>
          <w:p>
            <w:pPr>
              <w:pStyle w:val="Level1Sub"/>
              <w:widowControl/>
              <w:rPr/>
            </w:pPr>
            <w:r>
              <w:rPr/>
              <w:t>Descriptions of the terms and definitions used in this section are found in Preliminary Statement, Part C or in Rule 1.</w:t>
            </w:r>
          </w:p>
          <w:p>
            <w:pPr>
              <w:pStyle w:val="Level1"/>
              <w:widowControl/>
              <w:rPr/>
            </w:pPr>
            <w:r>
              <w:rPr/>
              <w:t>2.</w:t>
              <w:tab/>
              <w:t>APPLICABILITY:  The BCA balance applies to all gas rate schedules and contracts subject to the jurisdiction of the CPUC, except for those schedules and contracts specifically excluded by the CPUC.</w:t>
            </w:r>
          </w:p>
          <w:p>
            <w:pPr>
              <w:pStyle w:val="Level1"/>
              <w:widowControl/>
              <w:rPr/>
            </w:pPr>
            <w:r>
              <w:rPr/>
              <w:t>3.</w:t>
              <w:tab/>
              <w:t>REVISION DATE:  The revision date applicable to the BCA rate shall coincide with the revision date of the Cost Allocation Proceeding or at other times, as ordered by the CPUC.</w:t>
            </w:r>
          </w:p>
          <w:p>
            <w:pPr>
              <w:pStyle w:val="Level1"/>
              <w:widowControl/>
              <w:rPr/>
            </w:pPr>
            <w:r>
              <w:rPr/>
              <w:t>4.</w:t>
              <w:tab/>
              <w:t>FORECAST PERIOD:  The forecast test period will be as specified in the Cost Allocation Proceeding.</w:t>
            </w:r>
          </w:p>
          <w:p>
            <w:pPr>
              <w:pStyle w:val="Level1"/>
              <w:widowControl/>
              <w:rPr/>
            </w:pPr>
            <w:r>
              <w:rPr/>
              <w:t>5.</w:t>
              <w:tab/>
              <w:t>BCA RATES:  This account does not currently have a rate component.</w:t>
            </w:r>
          </w:p>
          <w:p>
            <w:pPr>
              <w:pStyle w:val="Level1"/>
              <w:widowControl/>
              <w:rPr/>
            </w:pPr>
            <w:r>
              <w:rPr/>
              <w:t>6.</w:t>
              <w:tab/>
              <w:t>ACCOUNTING PROCEDURE:  PG&amp;E shall maintain the BCA by making entries as follows:</w:t>
            </w:r>
          </w:p>
          <w:p>
            <w:pPr>
              <w:pStyle w:val="Level2"/>
              <w:widowControl/>
              <w:tabs>
                <w:tab w:val="clear" w:pos="432"/>
                <w:tab w:val="left" w:pos="1224" w:leader="none"/>
              </w:tabs>
              <w:ind w:hanging="360" w:start="1224" w:end="0"/>
              <w:rPr/>
            </w:pPr>
            <w:r>
              <w:rPr/>
              <w:t>a.</w:t>
              <w:tab/>
            </w:r>
            <w:del w:id="2" w:author="Patrick Hoglund" w:date="2000-05-19T10:30:00Z">
              <w:r>
                <w:rPr/>
                <w:delText>a.</w:delText>
                <w:tab/>
              </w:r>
            </w:del>
            <w:r>
              <w:rPr/>
              <w:t>a debit entry equal to the cost of gas purchased under Schedule G-BAL as a result of over-deliveries (excluding transactions during the Schedule G</w:t>
              <w:noBreakHyphen/>
              <w:t>BAL Transition Period);</w:t>
            </w:r>
          </w:p>
          <w:p>
            <w:pPr>
              <w:pStyle w:val="Level2"/>
              <w:widowControl/>
              <w:tabs>
                <w:tab w:val="clear" w:pos="432"/>
                <w:tab w:val="left" w:pos="1224" w:leader="none"/>
              </w:tabs>
              <w:ind w:hanging="360" w:start="1224" w:end="0"/>
              <w:rPr/>
            </w:pPr>
            <w:r>
              <w:rPr/>
              <w:t>b.</w:t>
              <w:tab/>
            </w:r>
            <w:del w:id="3" w:author="Patrick Hoglund" w:date="2000-05-19T10:30:00Z">
              <w:r>
                <w:rPr/>
                <w:delText>b.</w:delText>
                <w:tab/>
              </w:r>
            </w:del>
            <w:r>
              <w:rPr/>
              <w:t>a debit entry equal to the cost of gas purchased under a California Production Balancing Agreement (CPBA) as a result of overdeliveries;</w:t>
            </w:r>
          </w:p>
          <w:p>
            <w:pPr>
              <w:pStyle w:val="Level2"/>
              <w:widowControl/>
              <w:tabs>
                <w:tab w:val="clear" w:pos="432"/>
                <w:tab w:val="left" w:pos="1284" w:leader="none"/>
              </w:tabs>
              <w:ind w:hanging="420" w:start="1284" w:end="0"/>
              <w:rPr/>
            </w:pPr>
            <w:r>
              <w:rPr/>
              <w:t>c.</w:t>
              <w:tab/>
            </w:r>
            <w:del w:id="4" w:author="Patrick Hoglund" w:date="2000-05-19T10:30:00Z">
              <w:r>
                <w:rPr/>
                <w:delText>c.</w:delText>
                <w:tab/>
              </w:r>
            </w:del>
            <w:r>
              <w:rPr/>
              <w:t>a debit entry equal to the cost of gas purchased by the transmission system to provide balancing service;</w:t>
            </w:r>
          </w:p>
          <w:p>
            <w:pPr>
              <w:pStyle w:val="Level2"/>
              <w:widowControl/>
              <w:tabs>
                <w:tab w:val="clear" w:pos="432"/>
                <w:tab w:val="left" w:pos="1284" w:leader="none"/>
              </w:tabs>
              <w:ind w:hanging="420" w:start="1284" w:end="0"/>
              <w:rPr/>
            </w:pPr>
            <w:r>
              <w:rPr/>
              <w:t>d.</w:t>
              <w:tab/>
              <w:t>a debit entry equal to the involuntary diversion credits to suppliers;</w:t>
            </w:r>
          </w:p>
          <w:p>
            <w:pPr>
              <w:pStyle w:val="Level2"/>
              <w:widowControl/>
              <w:tabs>
                <w:tab w:val="clear" w:pos="432"/>
                <w:tab w:val="left" w:pos="1284" w:leader="none"/>
              </w:tabs>
              <w:ind w:hanging="420" w:start="1284" w:end="0"/>
              <w:rPr>
                <w:del w:id="9" w:author="Patrick Hoglund" w:date="2000-05-24T15:37:00Z"/>
              </w:rPr>
            </w:pPr>
            <w:del w:id="5" w:author="Patrick Hoglund" w:date="2000-05-24T15:37:00Z">
              <w:r>
                <w:rPr/>
                <w:delText>e.</w:delText>
                <w:tab/>
              </w:r>
            </w:del>
            <w:del w:id="6" w:author="Patrick Hoglund" w:date="2000-05-24T15:37:00Z">
              <w:r>
                <w:rPr>
                  <w:b/>
                  <w:bCs/>
                  <w:color w:val="FF0000"/>
                  <w:u w:val="single"/>
                </w:rPr>
                <w:delText>a one-time debit entry of $700,000 per Decision XX-XX-XXX,</w:delText>
              </w:r>
            </w:del>
            <w:del w:id="7" w:author="Patrick Hoglund" w:date="2000-05-24T15:37:00Z">
              <w:r>
                <w:rPr>
                  <w:b/>
                  <w:bCs/>
                  <w:i/>
                  <w:iCs/>
                  <w:color w:val="FF0000"/>
                  <w:u w:val="single"/>
                </w:rPr>
                <w:delText xml:space="preserve"> the entry will be made within XX days of the effective date of Decision XX-XX-XXX</w:delText>
              </w:r>
            </w:del>
            <w:del w:id="8" w:author="Patrick Hoglund" w:date="2000-05-24T15:37:00Z">
              <w:r>
                <w:rPr/>
                <w:delText>;</w:delText>
              </w:r>
            </w:del>
          </w:p>
          <w:p>
            <w:pPr>
              <w:pStyle w:val="Level2"/>
              <w:widowControl/>
              <w:tabs>
                <w:tab w:val="clear" w:pos="432"/>
                <w:tab w:val="left" w:pos="1284" w:leader="none"/>
              </w:tabs>
              <w:ind w:hanging="420" w:start="1284" w:end="0"/>
              <w:rPr/>
            </w:pPr>
            <w:r>
              <w:rPr/>
              <w:t>f.</w:t>
              <w:tab/>
            </w:r>
            <w:del w:id="10" w:author="Patrick Hoglund" w:date="2000-05-19T10:30:00Z">
              <w:r>
                <w:rPr>
                  <w:b/>
                  <w:bCs/>
                  <w:u w:val="single"/>
                </w:rPr>
                <w:delText>f</w:delText>
              </w:r>
            </w:del>
            <w:del w:id="11" w:author="Patrick Hoglund" w:date="2000-05-19T10:30:00Z">
              <w:r>
                <w:rPr/>
                <w:delText>.</w:delText>
                <w:tab/>
              </w:r>
            </w:del>
            <w:r>
              <w:rPr/>
              <w:t>a credit entry equal to revenues from the sale of gas commodity as a result of under-deliveries under Schedule G</w:t>
              <w:noBreakHyphen/>
              <w:t>BAL during the month (excluding transactions during the Schedule G</w:t>
              <w:noBreakHyphen/>
              <w:t xml:space="preserve">BAL transition period), excluding the allowance for Franchise Fees and Uncollectible Accounts Expense (F&amp;U); </w:t>
            </w:r>
          </w:p>
          <w:p>
            <w:pPr>
              <w:pStyle w:val="Level2"/>
              <w:widowControl/>
              <w:tabs>
                <w:tab w:val="clear" w:pos="432"/>
                <w:tab w:val="left" w:pos="1284" w:leader="none"/>
              </w:tabs>
              <w:ind w:hanging="420" w:start="1284" w:end="0"/>
              <w:rPr/>
            </w:pPr>
            <w:r>
              <w:rPr/>
              <w:t>g.</w:t>
              <w:tab/>
            </w:r>
            <w:del w:id="12" w:author="Patrick Hoglund" w:date="2000-05-19T10:27:00Z">
              <w:r>
                <w:rPr/>
                <w:delText>f</w:delText>
              </w:r>
            </w:del>
            <w:ins w:id="13" w:author="Patrick Hoglund" w:date="2000-05-19T10:27:00Z">
              <w:r>
                <w:rPr/>
                <w:t>g</w:t>
              </w:r>
            </w:ins>
            <w:r>
              <w:rPr/>
              <w:t>.</w:t>
              <w:tab/>
              <w:t>a credit entry equal to the revenue from the sale of gas commodity as a result of underdeliveries under a CPBA, excluding the allowances for F&amp;U;</w:t>
            </w:r>
          </w:p>
          <w:p>
            <w:pPr>
              <w:pStyle w:val="Level2"/>
              <w:widowControl/>
              <w:tabs>
                <w:tab w:val="clear" w:pos="432"/>
                <w:tab w:val="left" w:pos="1284" w:leader="none"/>
              </w:tabs>
              <w:ind w:hanging="420" w:start="1284" w:end="0"/>
              <w:rPr>
                <w:ins w:id="18" w:author="Patrick Hoglund" w:date="2000-05-19T10:26:00Z"/>
              </w:rPr>
            </w:pPr>
            <w:ins w:id="14" w:author="Patrick Hoglund" w:date="2000-05-19T10:26:00Z">
              <w:r>
                <w:rPr/>
                <w:t>h.</w:t>
                <w:tab/>
              </w:r>
            </w:ins>
            <w:del w:id="15" w:author="Patrick Hoglund" w:date="2000-05-19T10:26:00Z">
              <w:r>
                <w:rPr/>
                <w:delText>g.</w:delText>
                <w:tab/>
              </w:r>
            </w:del>
            <w:r>
              <w:rPr/>
              <w:t>a credit entry equal to EFO and OFO noncompliance charges, excluding the allowance for F&amp;U</w:t>
            </w:r>
            <w:ins w:id="16" w:author="Patrick Hoglund" w:date="2000-05-19T10:25:00Z">
              <w:r>
                <w:rPr/>
                <w:t xml:space="preserve"> </w:t>
              </w:r>
            </w:ins>
            <w:ins w:id="17" w:author="Patrick Hoglund" w:date="2000-05-19T10:25:00Z">
              <w:r>
                <w:rPr>
                  <w:b/>
                  <w:bCs/>
                </w:rPr>
                <w:t>as described in Schedule G-BAL</w:t>
              </w:r>
            </w:ins>
            <w:r>
              <w:rPr/>
              <w:t>;</w:t>
            </w:r>
          </w:p>
          <w:p>
            <w:pPr>
              <w:pStyle w:val="Level2"/>
              <w:widowControl/>
              <w:tabs>
                <w:tab w:val="clear" w:pos="432"/>
                <w:tab w:val="left" w:pos="1284" w:leader="none"/>
              </w:tabs>
              <w:ind w:hanging="420" w:start="1284" w:end="0"/>
              <w:rPr>
                <w:ins w:id="24" w:author="Patrick Hoglund" w:date="2000-05-19T10:26:00Z"/>
              </w:rPr>
            </w:pPr>
            <w:ins w:id="19" w:author="Patrick Hoglund" w:date="2000-05-19T10:26:00Z">
              <w:r>
                <w:rPr/>
                <w:t>i.</w:t>
                <w:tab/>
              </w:r>
            </w:ins>
            <w:ins w:id="20" w:author="Patrick Hoglund" w:date="2000-05-24T08:28:00Z">
              <w:r>
                <w:rPr>
                  <w:b/>
                  <w:bCs/>
                </w:rPr>
                <w:t xml:space="preserve">a </w:t>
              </w:r>
            </w:ins>
            <w:ins w:id="21" w:author="Patrick Hoglund" w:date="2000-05-19T10:26:00Z">
              <w:r>
                <w:rPr>
                  <w:b/>
                  <w:bCs/>
                </w:rPr>
                <w:t>credit entry equal to the non-compliance charges received from self-balancing customers</w:t>
              </w:r>
            </w:ins>
            <w:ins w:id="22" w:author="Patrick Hoglund" w:date="2000-05-24T15:37:00Z">
              <w:r>
                <w:rPr>
                  <w:b/>
                  <w:bCs/>
                </w:rPr>
                <w:t xml:space="preserve"> as described in Schedule G-BAL</w:t>
              </w:r>
            </w:ins>
            <w:ins w:id="23" w:author="Patrick Hoglund" w:date="2000-05-19T10:26:00Z">
              <w:r>
                <w:rPr/>
                <w:t>;</w:t>
              </w:r>
            </w:ins>
          </w:p>
          <w:p>
            <w:pPr>
              <w:pStyle w:val="Level2Sub"/>
              <w:widowControl/>
              <w:ind w:start="864" w:end="0"/>
              <w:rPr>
                <w:del w:id="26" w:author="Patrick Hoglund" w:date="2000-05-19T10:31:00Z"/>
              </w:rPr>
            </w:pPr>
            <w:del w:id="25" w:author="Patrick Hoglund" w:date="2000-05-19T10:31:00Z">
              <w:r>
                <w:rPr/>
              </w:r>
            </w:del>
          </w:p>
          <w:p>
            <w:pPr>
              <w:pStyle w:val="Level2Sub"/>
              <w:widowControl/>
              <w:tabs>
                <w:tab w:val="clear" w:pos="432"/>
                <w:tab w:val="left" w:pos="1284" w:leader="none"/>
              </w:tabs>
              <w:ind w:hanging="420" w:start="1284" w:end="0"/>
              <w:rPr>
                <w:ins w:id="29" w:author="Patrick Hoglund" w:date="2000-05-19T10:28:00Z"/>
              </w:rPr>
            </w:pPr>
            <w:ins w:id="27" w:author="Patrick Hoglund" w:date="2000-05-19T10:28:00Z">
              <w:r>
                <w:rPr/>
                <w:t>j.</w:t>
                <w:tab/>
              </w:r>
            </w:ins>
            <w:del w:id="28" w:author="Patrick Hoglund" w:date="2000-05-19T10:28:00Z">
              <w:r>
                <w:rPr/>
                <w:delText>h.</w:delText>
                <w:tab/>
              </w:r>
            </w:del>
            <w:r>
              <w:rPr/>
              <w:t>a credit entry equal to the involuntary diversion usage charges excluding the allowance for F&amp;U; and</w:t>
            </w:r>
          </w:p>
          <w:p>
            <w:pPr>
              <w:pStyle w:val="Level2"/>
              <w:widowControl/>
              <w:tabs>
                <w:tab w:val="clear" w:pos="432"/>
                <w:tab w:val="left" w:pos="1284" w:leader="none"/>
              </w:tabs>
              <w:ind w:hanging="420" w:start="1284" w:end="0"/>
              <w:rPr>
                <w:b/>
                <w:bCs/>
                <w:i/>
                <w:i/>
                <w:iCs/>
                <w:ins w:id="31" w:author="Patrick Hoglund" w:date="2000-05-19T10:28:00Z"/>
              </w:rPr>
            </w:pPr>
            <w:ins w:id="30" w:author="Patrick Hoglund" w:date="2000-05-19T10:28:00Z">
              <w:r>
                <w:rPr>
                  <w:b/>
                  <w:bCs/>
                  <w:i/>
                  <w:iCs/>
                </w:rPr>
                <w:t>k.</w:t>
                <w:tab/>
                <w:t>Transaction fees from Third Party Service Provider (TPSP)</w:t>
              </w:r>
            </w:ins>
          </w:p>
          <w:p>
            <w:pPr>
              <w:pStyle w:val="Level2Sub"/>
              <w:widowControl/>
              <w:tabs>
                <w:tab w:val="clear" w:pos="432"/>
                <w:tab w:val="left" w:pos="1440" w:leader="none"/>
              </w:tabs>
              <w:ind w:hanging="360" w:start="1440" w:end="0"/>
              <w:rPr>
                <w:b/>
                <w:bCs/>
                <w:i/>
                <w:i/>
                <w:iCs/>
                <w:ins w:id="33" w:author="Patrick Hoglund" w:date="2000-05-19T10:28:00Z"/>
              </w:rPr>
            </w:pPr>
            <w:ins w:id="32" w:author="Patrick Hoglund" w:date="2000-05-19T10:28:00Z">
              <w:r>
                <w:rPr>
                  <w:b/>
                  <w:bCs/>
                  <w:i/>
                  <w:iCs/>
                </w:rPr>
                <w:t>1.</w:t>
                <w:tab/>
                <w:t>a credit entry equal to the transaction fees received from the TPSP for Electronic OFO Imbalance Rights Trading. OFO Imbalance Rights Trading is described in Gas Rule 14;</w:t>
              </w:r>
            </w:ins>
          </w:p>
          <w:p>
            <w:pPr>
              <w:pStyle w:val="Level2Sub"/>
              <w:widowControl/>
              <w:tabs>
                <w:tab w:val="clear" w:pos="432"/>
                <w:tab w:val="left" w:pos="1440" w:leader="none"/>
              </w:tabs>
              <w:ind w:hanging="360" w:start="1440" w:end="0"/>
              <w:rPr>
                <w:ins w:id="39" w:author="Patrick Hoglund" w:date="2000-05-19T10:28:00Z"/>
              </w:rPr>
            </w:pPr>
            <w:ins w:id="34" w:author="Patrick Hoglund" w:date="2000-05-19T10:28:00Z">
              <w:r>
                <w:rPr>
                  <w:b/>
                  <w:bCs/>
                  <w:i/>
                  <w:iCs/>
                </w:rPr>
                <w:t>2.</w:t>
                <w:tab/>
                <w:t xml:space="preserve">a credit entry equal to one-half of the transaction fees received by PG&amp;E from the TPSP for </w:t>
              </w:r>
            </w:ins>
            <w:ins w:id="35" w:author="Patrick Hoglund" w:date="2000-05-24T08:30:00Z">
              <w:r>
                <w:rPr>
                  <w:b/>
                  <w:bCs/>
                  <w:i/>
                  <w:iCs/>
                </w:rPr>
                <w:t>Anonymous</w:t>
              </w:r>
            </w:ins>
            <w:ins w:id="36" w:author="Patrick Hoglund" w:date="2000-05-19T10:28:00Z">
              <w:r>
                <w:rPr>
                  <w:b/>
                  <w:bCs/>
                  <w:i/>
                  <w:iCs/>
                </w:rPr>
                <w:t xml:space="preserve"> Imbalance Trading. </w:t>
              </w:r>
            </w:ins>
            <w:ins w:id="37" w:author="Patrick Hoglund" w:date="2000-06-19T13:50:00Z">
              <w:r>
                <w:rPr>
                  <w:b/>
                  <w:bCs/>
                  <w:i/>
                  <w:iCs/>
                </w:rPr>
                <w:t>Anonymous</w:t>
              </w:r>
            </w:ins>
            <w:ins w:id="38" w:author="Patrick Hoglund" w:date="2000-05-19T10:28:00Z">
              <w:r>
                <w:rPr>
                  <w:b/>
                  <w:bCs/>
                  <w:i/>
                  <w:iCs/>
                </w:rPr>
                <w:t xml:space="preserve"> Imbalance Trading via TPSP is described in Schedule G-BAL;</w:t>
              </w:r>
            </w:ins>
          </w:p>
          <w:p>
            <w:pPr>
              <w:pStyle w:val="Level2Sub"/>
              <w:widowControl/>
              <w:tabs>
                <w:tab w:val="clear" w:pos="432"/>
                <w:tab w:val="left" w:pos="1440" w:leader="none"/>
              </w:tabs>
              <w:ind w:hanging="360" w:start="1440" w:end="0"/>
              <w:rPr/>
            </w:pPr>
            <w:r>
              <w:rPr/>
              <w:t>3.</w:t>
              <w:tab/>
            </w:r>
            <w:ins w:id="40" w:author="Patrick Hoglund" w:date="2000-05-19T10:28:00Z">
              <w:r>
                <w:rPr>
                  <w:b/>
                  <w:bCs/>
                  <w:i/>
                  <w:iCs/>
                </w:rPr>
                <w:t xml:space="preserve">a credit entry equal to one-half of the transaction fees received from the TPSP by PG&amp;E for </w:t>
              </w:r>
            </w:ins>
            <w:ins w:id="41" w:author="Patrick Hoglund" w:date="2000-05-24T08:31:00Z">
              <w:r>
                <w:rPr>
                  <w:b/>
                  <w:bCs/>
                  <w:i/>
                  <w:iCs/>
                </w:rPr>
                <w:t xml:space="preserve">Intrastate </w:t>
              </w:r>
            </w:ins>
            <w:ins w:id="42" w:author="Patrick Hoglund" w:date="2000-05-19T10:28:00Z">
              <w:r>
                <w:rPr>
                  <w:b/>
                  <w:bCs/>
                  <w:i/>
                  <w:iCs/>
                </w:rPr>
                <w:t xml:space="preserve">Capacity Assignment. </w:t>
              </w:r>
            </w:ins>
            <w:ins w:id="43" w:author="Patrick Hoglund" w:date="2000-05-24T08:31:00Z">
              <w:r>
                <w:rPr>
                  <w:b/>
                  <w:bCs/>
                  <w:i/>
                  <w:iCs/>
                </w:rPr>
                <w:t xml:space="preserve">Intrastate </w:t>
              </w:r>
            </w:ins>
            <w:ins w:id="44" w:author="Patrick Hoglund" w:date="2000-05-19T10:28:00Z">
              <w:r>
                <w:rPr>
                  <w:b/>
                  <w:bCs/>
                  <w:i/>
                  <w:iCs/>
                </w:rPr>
                <w:t>Capacity Assignment via TPSP is described in Gas Rule 21.2</w:t>
              </w:r>
            </w:ins>
            <w:ins w:id="45" w:author="Patrick Hoglund" w:date="2000-05-19T10:28:00Z">
              <w:r>
                <w:rPr>
                  <w:b/>
                  <w:bCs/>
                </w:rPr>
                <w:t>;</w:t>
              </w:r>
            </w:ins>
          </w:p>
          <w:p>
            <w:pPr>
              <w:pStyle w:val="Level2"/>
              <w:widowControl/>
              <w:tabs>
                <w:tab w:val="clear" w:pos="432"/>
                <w:tab w:val="left" w:pos="1284" w:leader="none"/>
              </w:tabs>
              <w:spacing w:before="0" w:after="200"/>
              <w:ind w:hanging="420" w:start="1284" w:end="0"/>
              <w:rPr/>
            </w:pPr>
            <w:r>
              <w:rPr/>
              <w:t>l.</w:t>
              <w:tab/>
            </w:r>
            <w:del w:id="46" w:author="Patrick Hoglund" w:date="2000-05-19T10:30:00Z">
              <w:r>
                <w:rPr/>
                <w:delText>i.</w:delText>
              </w:r>
            </w:del>
            <w:ins w:id="47" w:author="Patrick Hoglund" w:date="2000-05-19T10:30:00Z">
              <w:r>
                <w:rPr/>
                <w:t xml:space="preserve"> </w:t>
              </w:r>
            </w:ins>
            <w:del w:id="48" w:author="Patrick Hoglund" w:date="2000-05-19T10:30:00Z">
              <w:r>
                <w:rPr/>
                <w:tab/>
              </w:r>
            </w:del>
            <w:r>
              <w:rPr/>
              <w:t>an entry equal to the interest on the average of the balance in the account at the beginning of the month and the balance in the account after the entries L.6.a through L.6.h, above, at a rate equal to one-twelfth the interest rate on three-month Commercial Paper for the previous month, as reported in the Federal Reserve Statistical Release, G.13, or its successor.</w:t>
            </w:r>
          </w:p>
        </w:tc>
        <w:tc>
          <w:tcPr>
            <w:tcW w:w="490" w:type="dxa"/>
            <w:tcBorders/>
          </w:tcPr>
          <w:p>
            <w:pPr>
              <w:pStyle w:val="EditNotation"/>
              <w:widowControl/>
              <w:snapToGrid w:val="false"/>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tc>
        <w:tc>
          <w:tcPr>
            <w:tcW w:w="490" w:type="dxa"/>
            <w:tcBorders/>
          </w:tcPr>
          <w:p>
            <w:pPr>
              <w:pStyle w:val="EditNotation"/>
              <w:widowControl/>
              <w:snapToGrid w:val="false"/>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t>(N)</w:t>
            </w:r>
          </w:p>
          <w:p>
            <w:pPr>
              <w:pStyle w:val="EditNotation"/>
              <w:widowControl/>
              <w:rPr/>
            </w:pPr>
            <w:r>
              <w:rPr/>
              <w:t>(N)</w:t>
            </w:r>
          </w:p>
          <w:p>
            <w:pPr>
              <w:pStyle w:val="EditNotation"/>
              <w:widowControl/>
              <w:rPr/>
            </w:pPr>
            <w:r>
              <w:rPr/>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t>(T)</w:t>
            </w:r>
          </w:p>
          <w:p>
            <w:pPr>
              <w:pStyle w:val="EditNotation"/>
              <w:widowControl/>
              <w:rPr/>
            </w:pPr>
            <w:r>
              <w:rPr/>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r>
          </w:p>
          <w:p>
            <w:pPr>
              <w:pStyle w:val="EditNotation"/>
              <w:widowControl/>
              <w:rPr/>
            </w:pPr>
            <w:r>
              <w:rPr/>
              <w:t>(N)</w:t>
            </w:r>
          </w:p>
          <w:p>
            <w:pPr>
              <w:pStyle w:val="EditNotation"/>
              <w:widowControl/>
              <w:rPr/>
            </w:pPr>
            <w:r>
              <w:rPr/>
              <w:t>(N)</w:t>
            </w:r>
          </w:p>
          <w:p>
            <w:pPr>
              <w:pStyle w:val="EditNotation"/>
              <w:widowControl/>
              <w:rPr/>
            </w:pPr>
            <w:r>
              <w:rPr/>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t>(T)</w:t>
            </w:r>
          </w:p>
          <w:p>
            <w:pPr>
              <w:pStyle w:val="EditNotation"/>
              <w:widowControl/>
              <w:rPr/>
            </w:pPr>
            <w:r>
              <w:rPr/>
            </w:r>
          </w:p>
          <w:p>
            <w:pPr>
              <w:pStyle w:val="EditNotation"/>
              <w:widowControl/>
              <w:rPr/>
            </w:pPr>
            <w:r>
              <w:rPr/>
            </w:r>
          </w:p>
          <w:p>
            <w:pPr>
              <w:pStyle w:val="EditNotation"/>
              <w:widowControl/>
              <w:rPr/>
            </w:pPr>
            <w:r>
              <w:rPr/>
            </w:r>
          </w:p>
        </w:tc>
      </w:tr>
    </w:tbl>
    <w:p>
      <w:pPr>
        <w:pStyle w:val="Normal"/>
        <w:widowControl/>
        <w:rPr>
          <w:lang w:val="en-CA"/>
        </w:rPr>
      </w:pPr>
      <w:r>
        <w:rPr>
          <w:lang w:val="en-CA"/>
        </w:rPr>
        <mc:AlternateContent>
          <mc:Choice Requires="wpg">
            <w:drawing>
              <wp:anchor behindDoc="0" distT="0" distB="0" distL="0" distR="0" simplePos="0" locked="0" layoutInCell="0" allowOverlap="1" relativeHeight="6">
                <wp:simplePos x="0" y="0"/>
                <wp:positionH relativeFrom="page">
                  <wp:posOffset>6400800</wp:posOffset>
                </wp:positionH>
                <wp:positionV relativeFrom="page">
                  <wp:posOffset>8869680</wp:posOffset>
                </wp:positionV>
                <wp:extent cx="914400" cy="228600"/>
                <wp:effectExtent l="0" t="0" r="0" b="0"/>
                <wp:wrapNone/>
                <wp:docPr id="1" name=""/>
                <a:graphic xmlns:a="http://schemas.openxmlformats.org/drawingml/2006/main">
                  <a:graphicData uri="http://schemas.microsoft.com/office/word/2010/wordprocessingGroup">
                    <wpg:wgp>
                      <wpg:cNvGrpSpPr/>
                      <wpg:grpSpPr>
                        <a:xfrm>
                          <a:off x="0" y="0"/>
                          <a:ext cx="914400" cy="228600"/>
                          <a:chOff x="0" y="0"/>
                          <a:chExt cx="914400" cy="228600"/>
                        </a:xfrm>
                      </wpg:grpSpPr>
                      <wps:wsp>
                        <wps:cNvSpPr txBox="1"/>
                        <wps:spPr>
                          <a:xfrm>
                            <a:off x="0" y="0"/>
                            <a:ext cx="914400" cy="228600"/>
                          </a:xfrm>
                          <a:prstGeom prst="rect">
                            <a:avLst/>
                          </a:prstGeom>
                          <a:noFill/>
                          <a:ln w="0">
                            <a:noFill/>
                          </a:ln>
                        </wps:spPr>
                        <wps:txbx>
                          <w:txbxContent>
                            <w:p>
                              <w:pPr>
                                <w:overflowPunct w:val="false"/>
                                <w:bidi w:val="0"/>
                                <w:spacing w:lineRule="atLeast" w:line="200"/>
                                <w:rPr/>
                              </w:pPr>
                              <w:r>
                                <w:rPr>
                                  <w:kern w:val="2"/>
                                  <w:sz w:val="18"/>
                                  <w:szCs w:val="18"/>
                                  <w:rFonts w:ascii="Arial" w:hAnsi="Arial" w:eastAsia="Arial" w:cs="Arial"/>
                                  <w:color w:val="auto"/>
                                  <w:lang w:val="en-US"/>
                                </w:rPr>
                                <w:t>(Continued)</w:t>
                              </w:r>
                            </w:p>
                          </w:txbxContent>
                        </wps:txbx>
                        <wps:bodyPr wrap="square" lIns="35640" rIns="35640" tIns="17640" bIns="17640" anchor="t">
                          <a:noAutofit/>
                        </wps:bodyPr>
                      </wps:wsp>
                      <wps:wsp>
                        <wps:cNvSpPr/>
                        <wps:spPr>
                          <a:xfrm>
                            <a:off x="0" y="0"/>
                            <a:ext cx="914400" cy="228600"/>
                          </a:xfrm>
                          <a:custGeom>
                            <a:avLst/>
                            <a:gdLst/>
                            <a:ahLst/>
                            <a:rect l="0" t="0" r="r" b="b"/>
                            <a:pathLst>
                              <a:path fill="none" w="2540" h="635">
                                <a:moveTo>
                                  <a:pt x="0" y="0"/>
                                </a:moveTo>
                                <a:lnTo>
                                  <a:pt x="0" y="635"/>
                                </a:lnTo>
                                <a:lnTo>
                                  <a:pt x="2540" y="635"/>
                                </a:lnTo>
                                <a:lnTo>
                                  <a:pt x="2540" y="0"/>
                                </a:lnTo>
                                <a:lnTo>
                                  <a:pt x="0" y="0"/>
                                </a:lnTo>
                              </a:path>
                            </a:pathLst>
                          </a:custGeom>
                          <a:ln w="0">
                            <a:noFill/>
                          </a:ln>
                        </wps:spPr>
                        <wps:bodyPr/>
                      </wps:wsp>
                    </wpg:wgp>
                  </a:graphicData>
                </a:graphic>
              </wp:anchor>
            </w:drawing>
          </mc:Choice>
          <mc:Fallback>
            <w:pict>
              <v:group id="shape_0" style="position:absolute;margin-left:504pt;margin-top:698.4pt;width:72pt;height:18pt" coordorigin="10080,13968" coordsize="1440,360">
                <v:shapetype id="_x0000_t202" coordsize="21600,21600" o:spt="202" path="m,l,21600l21600,21600l21600,xe">
                  <v:stroke joinstyle="miter"/>
                  <v:path gradientshapeok="t" o:connecttype="rect"/>
                </v:shapetype>
                <v:shape id="shape_0" stroked="f" o:allowincell="f" style="position:absolute;left:10080;top:13968;width:1439;height:359;mso-wrap-style:square;v-text-anchor:top;mso-position-horizontal-relative:page;mso-position-vertical-relative:page" type="_x0000_t202">
                  <v:textbox>
                    <w:txbxContent>
                      <w:p>
                        <w:pPr>
                          <w:overflowPunct w:val="false"/>
                          <w:bidi w:val="0"/>
                          <w:spacing w:lineRule="atLeast" w:line="200"/>
                          <w:rPr/>
                        </w:pPr>
                        <w:r>
                          <w:rPr>
                            <w:kern w:val="2"/>
                            <w:sz w:val="18"/>
                            <w:szCs w:val="18"/>
                            <w:rFonts w:ascii="Arial" w:hAnsi="Arial" w:eastAsia="Arial" w:cs="Arial"/>
                            <w:color w:val="auto"/>
                            <w:lang w:val="en-US"/>
                          </w:rPr>
                          <w:t>(Continued)</w:t>
                        </w:r>
                      </w:p>
                    </w:txbxContent>
                  </v:textbox>
                  <v:fill o:detectmouseclick="t" on="false"/>
                  <v:stroke color="#3465a4" joinstyle="round" endcap="flat"/>
                  <w10:wrap type="none"/>
                </v:shape>
                <v:shape id="shape_0" coordsize="2541,636" path="m0,0l0,635l2540,635l2540,0l0,0e" stroked="f" o:allowincell="f" style="position:absolute;left:10080;top:13968;width:1439;height:359;mso-position-horizontal-relative:page;mso-position-vertical-relative:page">
                  <v:stroke color="#3465a4" joinstyle="round" endcap="flat"/>
                  <v:fill o:detectmouseclick="t" on="false"/>
                  <w10:wrap type="none"/>
                </v:shape>
              </v:group>
            </w:pict>
          </mc:Fallback>
        </mc:AlternateContent>
      </w:r>
    </w:p>
    <w:p>
      <w:pPr>
        <w:sectPr>
          <w:headerReference w:type="default" r:id="rId2"/>
          <w:footerReference w:type="default" r:id="rId3"/>
          <w:type w:val="nextPage"/>
          <w:pgSz w:w="12240" w:h="15840"/>
          <w:pgMar w:left="1656" w:right="547" w:gutter="0" w:header="720" w:top="1944" w:footer="576" w:bottom="1440"/>
          <w:pgNumType w:fmt="decimal"/>
          <w:formProt w:val="false"/>
          <w:textDirection w:val="lrTb"/>
        </w:sectPr>
      </w:pPr>
    </w:p>
    <w:p>
      <w:pPr>
        <w:pStyle w:val="Normal"/>
        <w:widowControl/>
        <w:rPr/>
      </w:pPr>
      <w:r>
        <w:rPr/>
      </w:r>
    </w:p>
    <w:sectPr>
      <w:type w:val="continuous"/>
      <w:pgSz w:w="12240" w:h="15840"/>
      <w:pgMar w:left="1656" w:right="547" w:gutter="0" w:header="720" w:top="1944" w:footer="576" w:bottom="1440"/>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Helvetica">
    <w:altName w:val="Arial"/>
    <w:charset w:val="01"/>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1800" w:leader="none"/>
        <w:tab w:val="center" w:pos="4680" w:leader="none"/>
        <w:tab w:val="left" w:pos="6840" w:leader="none"/>
        <w:tab w:val="right" w:pos="9990" w:leader="none"/>
      </w:tabs>
      <w:ind w:end="360"/>
      <w:rPr/>
    </w:pPr>
    <w:r>
      <w:rPr>
        <w:i/>
        <w:iCs/>
      </w:rPr>
      <w:t>Advice Letter No.</w:t>
    </w:r>
    <w:r>
      <w:rPr/>
      <w:tab/>
      <w:t>2071-G</w:t>
      <w:tab/>
    </w:r>
    <w:r>
      <w:rPr>
        <w:i/>
        <w:iCs/>
      </w:rPr>
      <w:t>Issued by</w:t>
    </w:r>
    <w:r>
      <w:rPr/>
      <w:tab/>
    </w:r>
    <w:r>
      <w:rPr>
        <w:i/>
        <w:iCs/>
      </w:rPr>
      <w:t>Date Filed</w:t>
    </w:r>
    <w:r>
      <w:rPr>
        <w:u w:val="single"/>
      </w:rPr>
      <w:tab/>
      <w:t>March 18, 1998</w:t>
    </w:r>
  </w:p>
  <w:p>
    <w:pPr>
      <w:pStyle w:val="Normal"/>
      <w:widowControl/>
      <w:tabs>
        <w:tab w:val="clear" w:pos="432"/>
        <w:tab w:val="center" w:pos="-900" w:leader="none"/>
        <w:tab w:val="left" w:pos="1440" w:leader="none"/>
        <w:tab w:val="center" w:pos="4680" w:leader="none"/>
        <w:tab w:val="left" w:pos="6840" w:leader="none"/>
        <w:tab w:val="right" w:pos="9994" w:leader="none"/>
      </w:tabs>
      <w:rPr/>
    </w:pPr>
    <w:r>
      <w:rPr>
        <w:i/>
        <w:iCs/>
      </w:rPr>
      <w:t>Decision No.</w:t>
    </w:r>
    <w:r>
      <w:rPr/>
      <w:tab/>
      <w:t>97-08-055</w:t>
      <w:tab/>
    </w:r>
    <w:r>
      <w:rPr>
        <w:b/>
        <w:bCs/>
        <w:i/>
        <w:iCs/>
      </w:rPr>
      <w:t>Thomas E. Bottorff</w:t>
    </w:r>
    <w:r>
      <w:rPr/>
      <w:tab/>
    </w:r>
    <w:r>
      <w:rPr>
        <w:i/>
        <w:iCs/>
      </w:rPr>
      <w:t>Effective</w:t>
    </w:r>
    <w:r>
      <w:rPr>
        <w:u w:val="single"/>
      </w:rPr>
      <w:tab/>
      <w:t>April 27, 1998</w:t>
    </w:r>
  </w:p>
  <w:p>
    <w:pPr>
      <w:pStyle w:val="Normal"/>
      <w:widowControl/>
      <w:tabs>
        <w:tab w:val="clear" w:pos="432"/>
        <w:tab w:val="left" w:pos="1440" w:leader="none"/>
        <w:tab w:val="center" w:pos="4680" w:leader="none"/>
        <w:tab w:val="left" w:pos="6840" w:leader="none"/>
        <w:tab w:val="right" w:pos="9994" w:leader="none"/>
      </w:tabs>
      <w:rPr/>
    </w:pPr>
    <w:r>
      <w:rPr/>
      <w:tab/>
      <w:tab/>
    </w:r>
    <w:r>
      <w:rPr>
        <w:i/>
        <w:iCs/>
      </w:rPr>
      <w:t>Vice President</w:t>
    </w:r>
    <w:r>
      <w:rPr/>
      <w:tab/>
    </w:r>
    <w:r>
      <w:rPr>
        <w:i/>
        <w:iCs/>
      </w:rPr>
      <w:t>Resolution No.</w:t>
    </w:r>
    <w:r>
      <w:rPr>
        <w:u w:val="single"/>
      </w:rPr>
      <w:tab/>
    </w:r>
  </w:p>
  <w:p>
    <w:pPr>
      <w:pStyle w:val="Normal"/>
      <w:widowControl/>
      <w:tabs>
        <w:tab w:val="clear" w:pos="432"/>
        <w:tab w:val="center" w:pos="-720" w:leader="none"/>
        <w:tab w:val="left" w:pos="2621" w:leader="none"/>
        <w:tab w:val="center" w:pos="4680" w:leader="none"/>
        <w:tab w:val="left" w:pos="6840" w:leader="none"/>
      </w:tabs>
      <w:rPr/>
    </w:pPr>
    <w:r>
      <w:rPr/>
      <w:t>26980 x</w:t>
      <w:tab/>
      <w:tab/>
    </w:r>
    <w:r>
      <w:rPr>
        <w:i/>
        <w:iCs/>
      </w:rPr>
      <w:t>Rates &amp; Account Services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432"/>
        <w:tab w:val="left" w:pos="5040" w:leader="none"/>
        <w:tab w:val="left" w:pos="5940" w:leader="none"/>
        <w:tab w:val="left" w:pos="7020" w:leader="none"/>
        <w:tab w:val="right" w:pos="9990" w:leader="none"/>
      </w:tabs>
      <w:ind w:start="864" w:end="0"/>
      <w:rPr/>
    </w:pPr>
    <w:ins w:id="49" w:author="A Valued Microsoft Customer" w:date="2000-06-23T14:57:00Z">
      <w:r>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445770" cy="515620"/>
            <wp:effectExtent l="0" t="0" r="0" b="0"/>
            <wp:wrapSquare wrapText="bothSides"/>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tretch>
                      <a:fillRect/>
                    </a:stretch>
                  </pic:blipFill>
                  <pic:spPr bwMode="auto">
                    <a:xfrm>
                      <a:off x="0" y="0"/>
                      <a:ext cx="445770" cy="515620"/>
                    </a:xfrm>
                    <a:prstGeom prst="rect">
                      <a:avLst/>
                    </a:prstGeom>
                    <a:noFill/>
                  </pic:spPr>
                </pic:pic>
              </a:graphicData>
            </a:graphic>
          </wp:anchor>
        </w:drawing>
      </w:r>
    </w:ins>
    <w:ins w:id="50" w:author="A Valued Microsoft Customer" w:date="2000-06-23T14:57:00Z">
      <w:r>
        <w:rPr/>
        <w:t>Draft Pro-Forma Tariff 6/23/2000</w:t>
      </w:r>
    </w:ins>
  </w:p>
  <w:p>
    <w:pPr>
      <w:pStyle w:val="Normal"/>
      <w:widowControl/>
      <w:tabs>
        <w:tab w:val="clear" w:pos="432"/>
        <w:tab w:val="left" w:pos="5040" w:leader="none"/>
        <w:tab w:val="left" w:pos="5940" w:leader="none"/>
        <w:tab w:val="left" w:pos="7020" w:leader="none"/>
        <w:tab w:val="right" w:pos="10008" w:leader="none"/>
      </w:tabs>
      <w:ind w:start="864" w:end="0"/>
      <w:rPr/>
    </w:pPr>
    <w:r>
      <w:rPr/>
      <w:tab/>
      <w:tab/>
      <w:t>Revised</w:t>
      <w:tab/>
    </w:r>
    <w:r>
      <w:rPr>
        <w:i/>
        <w:iCs/>
      </w:rPr>
      <w:t>Cal. P.U.C. Sheet No.</w:t>
    </w:r>
    <w:r>
      <w:rPr/>
      <w:tab/>
      <w:t>18715-G</w:t>
    </w:r>
  </w:p>
  <w:p>
    <w:pPr>
      <w:pStyle w:val="Normal"/>
      <w:widowControl/>
      <w:tabs>
        <w:tab w:val="clear" w:pos="432"/>
        <w:tab w:val="left" w:pos="4680" w:leader="none"/>
        <w:tab w:val="left" w:pos="5940" w:leader="none"/>
        <w:tab w:val="left" w:pos="7020" w:leader="none"/>
        <w:tab w:val="right" w:pos="10008" w:leader="none"/>
      </w:tabs>
      <w:ind w:start="864" w:end="0"/>
      <w:rPr/>
    </w:pPr>
    <w:r>
      <w:rPr>
        <w:b/>
        <w:bCs/>
        <w:i/>
        <w:iCs/>
      </w:rPr>
      <w:t>Pacific Gas and Electric Company</w:t>
    </w:r>
    <w:r>
      <w:rPr/>
      <w:tab/>
    </w:r>
    <w:r>
      <w:rPr>
        <w:i/>
        <w:iCs/>
      </w:rPr>
      <w:t>Cancelling</w:t>
    </w:r>
    <w:r>
      <w:rPr/>
      <w:tab/>
      <w:t>Revised</w:t>
      <w:tab/>
    </w:r>
    <w:r>
      <w:rPr>
        <w:i/>
        <w:iCs/>
      </w:rPr>
      <w:t>Cal. P.U.C. Sheet No.</w:t>
    </w:r>
    <w:r>
      <w:rPr/>
      <w:tab/>
      <w:t>18455-G</w:t>
    </w:r>
  </w:p>
  <w:p>
    <w:pPr>
      <w:pStyle w:val="Normal"/>
      <w:widowControl/>
      <w:tabs>
        <w:tab w:val="clear" w:pos="432"/>
        <w:tab w:val="right" w:pos="10008" w:leader="none"/>
      </w:tabs>
      <w:ind w:start="864" w:end="0"/>
      <w:rPr/>
    </w:pPr>
    <w:r>
      <w:pict>
        <v:shape id="shape_0" coordsize="17781,22226" path="m0,0l0,22225l17780,22225l17780,0l0,0e" stroked="t" o:allowincell="f" style="position:absolute;margin-left:79.2pt;margin-top:86.4pt;width:503.95pt;height:629.95pt;mso-position-horizontal-relative:page;mso-position-vertical-relative:page">
          <v:stroke color="black" weight="9360" joinstyle="round" endcap="flat"/>
          <v:fill o:detectmouseclick="t" on="false"/>
          <w10:wrap type="none"/>
        </v:shape>
      </w:pict>
    </w:r>
    <w:r>
      <w:rPr>
        <w:i/>
        <w:iCs/>
      </w:rPr>
      <w:t>San Francisco, California</w:t>
    </w:r>
    <w:r>
      <w:rPr/>
      <w:tab/>
    </w:r>
  </w:p>
  <w:p>
    <w:pPr>
      <w:pStyle w:val="Header"/>
      <w:widowControl/>
      <w:tabs>
        <w:tab w:val="clear" w:pos="4320"/>
        <w:tab w:val="clear" w:pos="8640"/>
      </w:tabs>
      <w:spacing w:before="360" w:after="180"/>
      <w:jc w:val="center"/>
      <w:rPr/>
    </w:pPr>
    <w:r>
      <w:rPr>
        <w:u w:val="single"/>
      </w:rPr>
      <w:t>PRELIMINARY STATEMENT</w:t>
      <w:br/>
    </w:r>
    <w:r>
      <w:rPr/>
      <w:t>(Continued)</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spacing w:lineRule="atLeast" w:line="200"/>
    </w:pPr>
    <w:rPr>
      <w:rFonts w:ascii="Arial" w:hAnsi="Arial" w:eastAsia="Arial" w:cs="Arial"/>
      <w:color w:val="auto"/>
      <w:sz w:val="18"/>
      <w:szCs w:val="18"/>
      <w:lang w:val="en-US" w:eastAsia="zh-CN" w:bidi="hi-IN"/>
    </w:rPr>
  </w:style>
  <w:style w:type="paragraph" w:styleId="Heading1">
    <w:name w:val="heading 1"/>
    <w:basedOn w:val="Normal"/>
    <w:next w:val="Normal"/>
    <w:qFormat/>
    <w:pPr>
      <w:keepNext w:val="true"/>
      <w:numPr>
        <w:ilvl w:val="0"/>
        <w:numId w:val="1"/>
      </w:numPr>
      <w:tabs>
        <w:tab w:val="clear" w:pos="432"/>
        <w:tab w:val="left" w:pos="288" w:leader="none"/>
      </w:tabs>
      <w:spacing w:lineRule="exact" w:line="480"/>
      <w:ind w:hanging="432" w:start="432" w:end="0"/>
      <w:outlineLvl w:val="0"/>
    </w:pPr>
    <w:rPr>
      <w:caps/>
      <w:u w:val="single"/>
    </w:rPr>
  </w:style>
  <w:style w:type="paragraph" w:styleId="Heading2">
    <w:name w:val="heading 2"/>
    <w:basedOn w:val="Heading1"/>
    <w:next w:val="Normal"/>
    <w:qFormat/>
    <w:pPr>
      <w:numPr>
        <w:ilvl w:val="1"/>
        <w:numId w:val="1"/>
      </w:numPr>
      <w:ind w:hanging="432" w:start="864" w:end="0"/>
      <w:outlineLvl w:val="1"/>
    </w:pPr>
    <w:rPr>
      <w:caps w:val="false"/>
      <w:smallCaps w:val="false"/>
    </w:rPr>
  </w:style>
  <w:style w:type="paragraph" w:styleId="Heading3">
    <w:name w:val="heading 3"/>
    <w:basedOn w:val="Heading1"/>
    <w:next w:val="Normal"/>
    <w:qFormat/>
    <w:pPr>
      <w:numPr>
        <w:ilvl w:val="2"/>
        <w:numId w:val="1"/>
      </w:numPr>
      <w:ind w:hanging="432" w:start="1296" w:end="0"/>
      <w:outlineLvl w:val="2"/>
    </w:pPr>
    <w:rPr>
      <w:caps w:val="false"/>
      <w:smallCaps w:val="false"/>
    </w:rPr>
  </w:style>
  <w:style w:type="paragraph" w:styleId="Heading4">
    <w:name w:val="heading 4"/>
    <w:basedOn w:val="Heading1"/>
    <w:next w:val="Normal"/>
    <w:qFormat/>
    <w:pPr>
      <w:numPr>
        <w:ilvl w:val="3"/>
        <w:numId w:val="1"/>
      </w:numPr>
      <w:ind w:hanging="432" w:start="1728" w:end="0"/>
      <w:outlineLvl w:val="3"/>
    </w:pPr>
    <w:rPr>
      <w:caps w:val="false"/>
      <w:smallCaps w:val="false"/>
    </w:rPr>
  </w:style>
  <w:style w:type="paragraph" w:styleId="Heading5">
    <w:name w:val="heading 5"/>
    <w:basedOn w:val="Heading1"/>
    <w:next w:val="Normal"/>
    <w:qFormat/>
    <w:pPr>
      <w:numPr>
        <w:ilvl w:val="4"/>
        <w:numId w:val="1"/>
      </w:numPr>
      <w:ind w:hanging="432" w:start="2160" w:end="0"/>
      <w:outlineLvl w:val="4"/>
    </w:pPr>
    <w:rPr>
      <w:caps w:val="false"/>
      <w:smallCaps w:val="false"/>
    </w:rPr>
  </w:style>
  <w:style w:type="paragraph" w:styleId="Heading6">
    <w:name w:val="heading 6"/>
    <w:basedOn w:val="Heading1"/>
    <w:next w:val="Normal"/>
    <w:qFormat/>
    <w:pPr>
      <w:numPr>
        <w:ilvl w:val="5"/>
        <w:numId w:val="1"/>
      </w:numPr>
      <w:ind w:hanging="432" w:start="2592" w:end="0"/>
      <w:outlineLvl w:val="5"/>
    </w:pPr>
    <w:rPr>
      <w:caps w:val="false"/>
      <w:smallCaps w:val="false"/>
    </w:rPr>
  </w:style>
  <w:style w:type="paragraph" w:styleId="Heading7">
    <w:name w:val="heading 7"/>
    <w:basedOn w:val="Normal"/>
    <w:next w:val="Normal"/>
    <w:qFormat/>
    <w:pPr>
      <w:keepNext w:val="true"/>
      <w:numPr>
        <w:ilvl w:val="6"/>
        <w:numId w:val="1"/>
      </w:numPr>
      <w:ind w:hanging="432" w:start="3024" w:end="0"/>
      <w:outlineLvl w:val="6"/>
    </w:pPr>
    <w:rPr>
      <w:rFonts w:ascii="Helvetica" w:hAnsi="Helvetica" w:eastAsia="Helvetica" w:cs="Helvetica"/>
      <w:u w:val="single"/>
    </w:rPr>
  </w:style>
  <w:style w:type="paragraph" w:styleId="Heading8">
    <w:name w:val="heading 8"/>
    <w:basedOn w:val="Normal"/>
    <w:next w:val="Normal"/>
    <w:qFormat/>
    <w:pPr>
      <w:keepNext w:val="true"/>
      <w:numPr>
        <w:ilvl w:val="7"/>
        <w:numId w:val="1"/>
      </w:numPr>
      <w:ind w:hanging="720" w:start="3744" w:end="0"/>
      <w:outlineLvl w:val="7"/>
    </w:pPr>
    <w:rPr>
      <w:rFonts w:ascii="Helvetica" w:hAnsi="Helvetica" w:eastAsia="Helvetica" w:cs="Helvetica"/>
      <w:u w:val="single"/>
    </w:rPr>
  </w:style>
  <w:style w:type="paragraph" w:styleId="Heading9">
    <w:name w:val="heading 9"/>
    <w:basedOn w:val="Normal"/>
    <w:next w:val="Normal"/>
    <w:qFormat/>
    <w:pPr>
      <w:keepNext w:val="true"/>
      <w:numPr>
        <w:ilvl w:val="8"/>
        <w:numId w:val="1"/>
      </w:numPr>
      <w:ind w:hanging="720" w:start="4464" w:end="0"/>
      <w:outlineLvl w:val="8"/>
    </w:pPr>
    <w:rPr>
      <w:rFonts w:ascii="Helvetica" w:hAnsi="Helvetica" w:eastAsia="Helvetica" w:cs="Helvetica"/>
      <w:u w:val="single"/>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lineRule="exact" w:line="200" w:before="0" w:after="200"/>
      <w:ind w:hanging="432" w:start="432" w:end="0"/>
    </w:pPr>
    <w:rPr/>
  </w:style>
  <w:style w:type="paragraph" w:styleId="PrelimBody">
    <w:name w:val="Prelim Body"/>
    <w:basedOn w:val="Normal"/>
    <w:qFormat/>
    <w:pPr>
      <w:spacing w:lineRule="exact" w:line="200" w:before="0" w:after="200"/>
      <w:ind w:hanging="0" w:start="432" w:end="0"/>
    </w:pPr>
    <w:rPr/>
  </w:style>
  <w:style w:type="paragraph" w:styleId="Level1">
    <w:name w:val="Level 1"/>
    <w:basedOn w:val="PrelimBody"/>
    <w:next w:val="Level1Sub"/>
    <w:qFormat/>
    <w:pPr>
      <w:ind w:hanging="432" w:start="864" w:end="0"/>
    </w:pPr>
    <w:rPr/>
  </w:style>
  <w:style w:type="paragraph" w:styleId="Level1Sub">
    <w:name w:val="Level 1 Sub"/>
    <w:basedOn w:val="PrelimBody"/>
    <w:qFormat/>
    <w:pPr>
      <w:ind w:hanging="0" w:start="864" w:end="0"/>
    </w:pPr>
    <w:rPr/>
  </w:style>
  <w:style w:type="paragraph" w:styleId="Level2">
    <w:name w:val="Level 2"/>
    <w:basedOn w:val="PrelimBody"/>
    <w:next w:val="Level2Sub"/>
    <w:qFormat/>
    <w:pPr>
      <w:ind w:hanging="432" w:start="1296" w:end="0"/>
    </w:pPr>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Footer">
    <w:name w:val="footer"/>
    <w:basedOn w:val="Normal"/>
    <w:pPr>
      <w:tabs>
        <w:tab w:val="clear" w:pos="432"/>
        <w:tab w:val="center" w:pos="4320" w:leader="none"/>
        <w:tab w:val="right" w:pos="8640" w:leader="none"/>
      </w:tabs>
    </w:pPr>
    <w:rPr/>
  </w:style>
  <w:style w:type="paragraph" w:styleId="Level2Sub">
    <w:name w:val="Level 2 Sub"/>
    <w:basedOn w:val="PrelimBody"/>
    <w:qFormat/>
    <w:pPr>
      <w:ind w:hanging="0" w:start="1296" w:end="0"/>
    </w:pPr>
    <w:rPr/>
  </w:style>
  <w:style w:type="paragraph" w:styleId="Level3">
    <w:name w:val="Level 3"/>
    <w:basedOn w:val="PrelimBody"/>
    <w:qFormat/>
    <w:pPr>
      <w:ind w:hanging="432" w:start="1728" w:end="0"/>
    </w:pPr>
    <w:rPr/>
  </w:style>
  <w:style w:type="paragraph" w:styleId="Header">
    <w:name w:val="header"/>
    <w:basedOn w:val="Normal"/>
    <w:pPr>
      <w:tabs>
        <w:tab w:val="clear" w:pos="432"/>
        <w:tab w:val="center" w:pos="4320" w:leader="none"/>
        <w:tab w:val="right" w:pos="8640" w:leader="none"/>
      </w:tabs>
    </w:pPr>
    <w:rPr/>
  </w:style>
  <w:style w:type="paragraph" w:styleId="Level3Sub">
    <w:name w:val="Level 3 Sub"/>
    <w:basedOn w:val="PrelimBody"/>
    <w:qFormat/>
    <w:pPr>
      <w:ind w:hanging="0" w:start="1728" w:end="0"/>
    </w:pPr>
    <w:rPr/>
  </w:style>
  <w:style w:type="paragraph" w:styleId="Level4">
    <w:name w:val="Level 4"/>
    <w:basedOn w:val="PrelimBody"/>
    <w:next w:val="Level4Sub"/>
    <w:qFormat/>
    <w:pPr>
      <w:ind w:hanging="432" w:start="2160" w:end="0"/>
    </w:pPr>
    <w:rPr/>
  </w:style>
  <w:style w:type="paragraph" w:styleId="Level4Sub">
    <w:name w:val="Level 4 Sub"/>
    <w:basedOn w:val="PrelimBody"/>
    <w:qFormat/>
    <w:pPr>
      <w:ind w:hanging="0" w:start="2160" w:end="0"/>
    </w:pPr>
    <w:rPr/>
  </w:style>
  <w:style w:type="paragraph" w:styleId="Level5">
    <w:name w:val="Level 5"/>
    <w:basedOn w:val="PrelimBody"/>
    <w:next w:val="Level5Sub"/>
    <w:qFormat/>
    <w:pPr>
      <w:ind w:hanging="432" w:start="2592" w:end="0"/>
    </w:pPr>
    <w:rPr/>
  </w:style>
  <w:style w:type="paragraph" w:styleId="Level5Sub">
    <w:name w:val="Level 5 Sub"/>
    <w:basedOn w:val="PrelimBody"/>
    <w:qFormat/>
    <w:pPr>
      <w:ind w:hanging="0" w:start="2592" w:end="0"/>
    </w:pPr>
    <w:rPr/>
  </w:style>
  <w:style w:type="paragraph" w:styleId="PrelimTitle">
    <w:name w:val="Prelim Title"/>
    <w:basedOn w:val="Normal"/>
    <w:next w:val="PrelimBody"/>
    <w:qFormat/>
    <w:pPr>
      <w:spacing w:lineRule="exact" w:line="200" w:before="0" w:after="200"/>
      <w:ind w:hanging="432" w:start="432" w:end="0"/>
    </w:pPr>
    <w:rPr/>
  </w:style>
  <w:style w:type="paragraph" w:styleId="Table">
    <w:name w:val="Table"/>
    <w:basedOn w:val="Normal"/>
    <w:qFormat/>
    <w:pPr>
      <w:spacing w:lineRule="exact" w:line="200"/>
    </w:pPr>
    <w:rPr/>
  </w:style>
  <w:style w:type="paragraph" w:styleId="EditNotation">
    <w:name w:val="Edit Notation"/>
    <w:basedOn w:val="PrelimBody"/>
    <w:qFormat/>
    <w:pPr>
      <w:spacing w:before="0" w:after="0"/>
      <w:ind w:hanging="0" w:start="0" w:end="0"/>
      <w:jc w:val="cen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2000-06-23T19:28:00Z</dcterms:created>
  <dc:creator>A Valued Microsoft Customer</dc:creator>
  <dc:description/>
  <dc:language>en-CA</dc:language>
  <cp:lastModifiedBy>A Valued Microsoft Customer</cp:lastModifiedBy>
  <cp:lastPrinted>2000-06-19T13:41:00Z</cp:lastPrinted>
  <dcterms:modified xsi:type="dcterms:W3CDTF">2000-06-23T19:28:00Z</dcterms:modified>
  <cp:revision>2</cp:revision>
  <dc:subject/>
  <dc:title>A._INSERT SECTION LETTER/TITLE_</dc:title>
</cp:coreProperties>
</file>