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lang w:val="en-CA" w:eastAsia="en-CA"/>
        </w:rPr>
      </w:pPr>
      <w:r>
        <w:rPr>
          <w:sz w:val="20"/>
          <w:lang w:val="en-CA" w:eastAsia="en-CA"/>
        </w:rPr>
        <w:drawing>
          <wp:anchor behindDoc="0" distT="0" distB="0" distL="114935" distR="114935" simplePos="0" locked="0" layoutInCell="1" allowOverlap="1" relativeHeight="2">
            <wp:simplePos x="0" y="0"/>
            <wp:positionH relativeFrom="column">
              <wp:posOffset>0</wp:posOffset>
            </wp:positionH>
            <wp:positionV relativeFrom="paragraph">
              <wp:posOffset>-342900</wp:posOffset>
            </wp:positionV>
            <wp:extent cx="909955" cy="914400"/>
            <wp:effectExtent l="0" t="0" r="0" b="0"/>
            <wp:wrapNone/>
            <wp:docPr id="1" name="LogoW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h" descr="" title=""/>
                    <pic:cNvPicPr>
                      <a:picLocks noChangeAspect="1" noChangeArrowheads="1"/>
                    </pic:cNvPicPr>
                  </pic:nvPicPr>
                  <pic:blipFill>
                    <a:blip r:embed="rId2"/>
                    <a:srcRect l="-6" t="-6" r="-6" b="-6"/>
                    <a:stretch>
                      <a:fillRect/>
                    </a:stretch>
                  </pic:blipFill>
                  <pic:spPr bwMode="auto">
                    <a:xfrm>
                      <a:off x="0" y="0"/>
                      <a:ext cx="909955" cy="9144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t>Mark D. Crowdis</w:t>
      </w:r>
    </w:p>
    <w:p>
      <w:pPr>
        <w:pStyle w:val="Normal"/>
        <w:rPr/>
      </w:pPr>
      <w:r>
        <w:rPr/>
        <w:t>Think Energy, Inc.</w:t>
      </w:r>
    </w:p>
    <w:p>
      <w:pPr>
        <w:pStyle w:val="Normal"/>
        <w:rPr/>
      </w:pPr>
      <w:r>
        <w:rPr/>
        <w:t>3125 McComas Ave.</w:t>
        <w:tab/>
      </w:r>
    </w:p>
    <w:p>
      <w:pPr>
        <w:pStyle w:val="Normal"/>
        <w:rPr/>
      </w:pPr>
      <w:r>
        <w:rPr/>
        <w:t>Kensington, MD  20895</w:t>
      </w:r>
    </w:p>
    <w:p>
      <w:pPr>
        <w:pStyle w:val="Normal"/>
        <w:rPr/>
      </w:pPr>
      <w:r>
        <w:rPr/>
      </w:r>
    </w:p>
    <w:p>
      <w:pPr>
        <w:pStyle w:val="Normal"/>
        <w:rPr/>
      </w:pPr>
      <w:r>
        <w:rPr/>
      </w:r>
    </w:p>
    <w:p>
      <w:pPr>
        <w:pStyle w:val="Normal"/>
        <w:rPr/>
      </w:pPr>
      <w:r>
        <w:rPr/>
        <w:t>September 4, 2001</w:t>
        <w:tab/>
      </w:r>
    </w:p>
    <w:p>
      <w:pPr>
        <w:pStyle w:val="Normal"/>
        <w:rPr/>
      </w:pPr>
      <w:r>
        <w:rPr/>
      </w:r>
    </w:p>
    <w:p>
      <w:pPr>
        <w:pStyle w:val="Normal"/>
        <w:rPr/>
      </w:pPr>
      <w:r>
        <w:rPr/>
        <w:t>Dear Mark:</w:t>
      </w:r>
    </w:p>
    <w:p>
      <w:pPr>
        <w:pStyle w:val="Normal"/>
        <w:rPr/>
      </w:pPr>
      <w:r>
        <w:rPr/>
      </w:r>
    </w:p>
    <w:p>
      <w:pPr>
        <w:pStyle w:val="Normal"/>
        <w:rPr/>
      </w:pPr>
      <w:r>
        <w:rPr/>
        <w:t xml:space="preserve">On behalf of the Renewable Power Desk at Enron, I am pleased to submit this proposal detailing a series of renewable energy products tailored to meet the needs of the Green Power Market Development Group. I have provided notional pricing for several different products in several different regions. The differences in prices, particularly for the Renewable Energy Credits (RECs) with embedded call options, are a function of differing supply/demand balances in different regions, and disparities in electricity market volatility across the country. In particular, the recent upheaval in Western electricity markets has created unprecedented levels of volatility in the California and Pacific Northwest markets. In other regions, notably Texas, markets have remained much more stable with relatively predictable pricing. </w:t>
      </w:r>
    </w:p>
    <w:p>
      <w:pPr>
        <w:pStyle w:val="Normal"/>
        <w:rPr/>
      </w:pPr>
      <w:r>
        <w:rPr/>
      </w:r>
    </w:p>
    <w:p>
      <w:pPr>
        <w:pStyle w:val="Heading1"/>
        <w:ind w:hanging="0" w:start="0"/>
        <w:rPr/>
      </w:pPr>
      <w:r>
        <w:rPr/>
        <w:t>Fixed Price Physical Commodity Energy and Renewable Energy Credits</w:t>
      </w:r>
    </w:p>
    <w:p>
      <w:pPr>
        <w:pStyle w:val="Normal"/>
        <w:rPr/>
      </w:pPr>
      <w:r>
        <w:rPr/>
        <w:t>To date, the classic, and perhaps most appealing renewable energy product has involved a combination of physical commodity electricity and renewable energy credits (RECs). Most of the major green power marketers have offered this type of product, as it offers price risk management and physical delivery with a green component that can be tailored to meet specific environmental objectives and pricing points. Typically, Enron’s offers for commodity energy are at or below existing utility rates. In Texas, we are offering discounts of as much as 12% off existing utility tariffs. In these transactions, Enron offers fixed-price rates for the wholesale component of the electricity tariff, and other charges, including transmission and distribution, are pass-throughs. We are currently serving commercial and industrial customers in the following states: California, Texas, Ohio, Maine, Pennsylvania, Massachusetts, Rhode Island, New York, and New Hampshire.</w:t>
      </w:r>
    </w:p>
    <w:p>
      <w:pPr>
        <w:pStyle w:val="Normal"/>
        <w:rPr/>
      </w:pPr>
      <w:r>
        <w:rPr/>
      </w:r>
    </w:p>
    <w:p>
      <w:pPr>
        <w:pStyle w:val="Normal"/>
        <w:rPr/>
      </w:pPr>
      <w:r>
        <w:rPr/>
        <w:t>While most green power offerings are tied to a specific generating unit, or a group of units, the complexities of physically wheeling intermittent power have led most green power marketers to rely on RECs to cover the renewable component of their power. The electricity from the renewable unit is sold into the wholesale market, usually at a financial loss, and the RECs are used to make the developer financially whole. In California, a significant portion of our retail customers acquired since the advent of deregulation have been green power customers. We have served the renewable component with RECs from a wind project that we own in Southern California and from several biomass facilities for whom we provide dispatch services. In Texas, we are offering RECs from a 135 MW wind project built by our subsidiary Enron Wind. In 2000, Enron Wind sold the output of its Indian Mesa Wind Project to Enron Power Marketing under a long-term power purchase agreement. Enron Power Marketing plans to sell the physical wind energy into the hourly electricity market in Texas, and the RECs are being marketed separately.</w:t>
      </w:r>
    </w:p>
    <w:p>
      <w:pPr>
        <w:pStyle w:val="Normal"/>
        <w:rPr/>
      </w:pPr>
      <w:r>
        <w:rPr/>
      </w:r>
    </w:p>
    <w:p>
      <w:pPr>
        <w:pStyle w:val="Normal"/>
        <w:rPr/>
      </w:pPr>
      <w:r>
        <w:rPr/>
        <w:t>Pricing for the wholesale electricity component is a function of several factors – term, size, load shape, and load volatility. I will be happy to provide your members with specific physical commodity pricing if they wish to explore this option. (Several, of course, are already existing customers). At this point, it is probably best to use current electricity rates as the relevant benchmark and to only provide pricing for RECs. We can tailor a wide variety of REC “blends” to meet your members’ needs. We have established marketing arrangements with two wind generators and two biomass generators in the Western United States, and we can also source wind credits from our Texas project. The price for wind energy credits in the WSCC is $9.00/MWh (.9 cents/KWh) and the price for wind energy credits in Texas is $7.00/MWh (.7 cents/KWh). New biomass in the Western U.S. is selling for $4.75/MWh. Existing biomass resources in the Western U.S. are selling for $1.25/MWh. We are working to establish relationships with Texas-based biomass and landfill generators, but do not have pricing at this point. Of course, it is possible to combine tags from different regions. All numbers are for 5-year terms.</w:t>
      </w:r>
    </w:p>
    <w:p>
      <w:pPr>
        <w:pStyle w:val="Normal"/>
        <w:rPr/>
      </w:pPr>
      <w:r>
        <w:rPr/>
      </w:r>
    </w:p>
    <w:p>
      <w:pPr>
        <w:pStyle w:val="Normal"/>
        <w:rPr/>
      </w:pPr>
      <w:r>
        <w:rPr/>
        <w:t xml:space="preserve">The following table provides pricing for a range of renewable power blends (in $/MWh) given the above numbers. I have provided pricing in the WSCC and Texas and also included the annual expenditure per megawatt of subscribed capacity. For example, if a member of the Group subscribed for 1 MW of 100% New Wind in the WSCC, the cost of the renewable component of the power would be $9.00/MWh, for a total annual expenditure of $78,840. </w:t>
      </w:r>
    </w:p>
    <w:p>
      <w:pPr>
        <w:pStyle w:val="Normal"/>
        <w:rPr/>
      </w:pPr>
      <w:r>
        <w:rPr/>
      </w:r>
    </w:p>
    <w:p>
      <w:pPr>
        <w:pStyle w:val="Normal"/>
        <w:rPr/>
      </w:pPr>
      <w:r>
        <w:rPr/>
      </w:r>
    </w:p>
    <w:tbl>
      <w:tblPr>
        <w:tblW w:w="9880" w:type="dxa"/>
        <w:jc w:val="start"/>
        <w:tblInd w:w="0" w:type="dxa"/>
        <w:tblLayout w:type="fixed"/>
        <w:tblCellMar>
          <w:top w:w="15" w:type="dxa"/>
          <w:start w:w="15" w:type="dxa"/>
          <w:bottom w:w="0" w:type="dxa"/>
          <w:end w:w="15" w:type="dxa"/>
        </w:tblCellMar>
      </w:tblPr>
      <w:tblGrid>
        <w:gridCol w:w="1120"/>
        <w:gridCol w:w="960"/>
        <w:gridCol w:w="960"/>
        <w:gridCol w:w="960"/>
        <w:gridCol w:w="960"/>
        <w:gridCol w:w="960"/>
        <w:gridCol w:w="90"/>
        <w:gridCol w:w="1950"/>
        <w:gridCol w:w="1826"/>
        <w:gridCol w:w="94"/>
      </w:tblGrid>
      <w:tr>
        <w:trPr>
          <w:trHeight w:val="255" w:hRule="atLeast"/>
        </w:trPr>
        <w:tc>
          <w:tcPr>
            <w:tcW w:w="1120" w:type="dxa"/>
            <w:tcBorders/>
            <w:vAlign w:val="bottom"/>
          </w:tcPr>
          <w:p>
            <w:pPr>
              <w:pStyle w:val="Normal"/>
              <w:rPr>
                <w:rFonts w:ascii="Arial" w:hAnsi="Arial" w:eastAsia="Arial Unicode MS" w:cs="Arial"/>
                <w:b/>
                <w:bCs/>
                <w:sz w:val="20"/>
                <w:szCs w:val="20"/>
              </w:rPr>
            </w:pPr>
            <w:r>
              <w:rPr>
                <w:rFonts w:cs="Arial" w:ascii="Arial" w:hAnsi="Arial"/>
                <w:b/>
                <w:bCs/>
                <w:sz w:val="20"/>
                <w:szCs w:val="20"/>
              </w:rPr>
              <w:t>Product</w:t>
            </w:r>
          </w:p>
        </w:tc>
        <w:tc>
          <w:tcPr>
            <w:tcW w:w="96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b/>
                <w:bCs/>
                <w:sz w:val="20"/>
                <w:szCs w:val="20"/>
              </w:rPr>
            </w:pPr>
            <w:r>
              <w:rPr>
                <w:rFonts w:cs="Arial" w:ascii="Arial" w:hAnsi="Arial"/>
                <w:b/>
                <w:bCs/>
                <w:sz w:val="20"/>
                <w:szCs w:val="20"/>
              </w:rPr>
              <w:t>WSCC</w:t>
            </w:r>
          </w:p>
        </w:tc>
        <w:tc>
          <w:tcPr>
            <w:tcW w:w="960" w:type="dxa"/>
            <w:tcBorders/>
            <w:vAlign w:val="bottom"/>
          </w:tcPr>
          <w:p>
            <w:pPr>
              <w:pStyle w:val="Normal"/>
              <w:rPr>
                <w:rFonts w:ascii="Arial" w:hAnsi="Arial" w:eastAsia="Arial Unicode MS" w:cs="Arial"/>
                <w:b/>
                <w:bCs/>
                <w:sz w:val="20"/>
                <w:szCs w:val="20"/>
              </w:rPr>
            </w:pPr>
            <w:r>
              <w:rPr>
                <w:rFonts w:cs="Arial" w:ascii="Arial" w:hAnsi="Arial"/>
                <w:b/>
                <w:bCs/>
                <w:sz w:val="20"/>
                <w:szCs w:val="20"/>
              </w:rPr>
              <w:t>Texas</w:t>
            </w:r>
          </w:p>
        </w:tc>
        <w:tc>
          <w:tcPr>
            <w:tcW w:w="2040" w:type="dxa"/>
            <w:gridSpan w:val="2"/>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 xml:space="preserve">WSCC  Annual $ </w:t>
            </w:r>
          </w:p>
        </w:tc>
        <w:tc>
          <w:tcPr>
            <w:tcW w:w="1920" w:type="dxa"/>
            <w:gridSpan w:val="2"/>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Texas Annual $</w:t>
            </w:r>
          </w:p>
        </w:tc>
      </w:tr>
      <w:tr>
        <w:trPr>
          <w:trHeight w:val="255" w:hRule="atLeast"/>
        </w:trPr>
        <w:tc>
          <w:tcPr>
            <w:tcW w:w="2080" w:type="dxa"/>
            <w:gridSpan w:val="2"/>
            <w:tcBorders/>
            <w:vAlign w:val="bottom"/>
          </w:tcPr>
          <w:p>
            <w:pPr>
              <w:pStyle w:val="Normal"/>
              <w:rPr>
                <w:rFonts w:ascii="Arial" w:hAnsi="Arial" w:eastAsia="Arial Unicode MS" w:cs="Arial"/>
                <w:sz w:val="20"/>
                <w:szCs w:val="20"/>
              </w:rPr>
            </w:pPr>
            <w:r>
              <w:rPr>
                <w:rFonts w:cs="Arial" w:ascii="Arial" w:hAnsi="Arial"/>
                <w:sz w:val="20"/>
                <w:szCs w:val="20"/>
              </w:rPr>
              <w:t>100% New Wind</w:t>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ascii="Arial" w:hAnsi="Arial" w:eastAsia="Arial Unicode MS" w:cs="Arial"/>
                <w:sz w:val="20"/>
                <w:szCs w:val="20"/>
              </w:rPr>
            </w:pPr>
            <w:r>
              <w:rPr>
                <w:rFonts w:cs="Arial" w:ascii="Arial" w:hAnsi="Arial"/>
                <w:sz w:val="20"/>
                <w:szCs w:val="20"/>
              </w:rPr>
              <w:t>$9.00</w:t>
            </w:r>
          </w:p>
        </w:tc>
        <w:tc>
          <w:tcPr>
            <w:tcW w:w="960" w:type="dxa"/>
            <w:tcBorders/>
            <w:vAlign w:val="bottom"/>
          </w:tcPr>
          <w:p>
            <w:pPr>
              <w:pStyle w:val="Normal"/>
              <w:jc w:val="center"/>
              <w:rPr>
                <w:rFonts w:ascii="Arial" w:hAnsi="Arial" w:eastAsia="Arial Unicode MS" w:cs="Arial"/>
                <w:sz w:val="20"/>
                <w:szCs w:val="20"/>
              </w:rPr>
            </w:pPr>
            <w:r>
              <w:rPr>
                <w:rFonts w:cs="Arial" w:ascii="Arial" w:hAnsi="Arial"/>
                <w:sz w:val="20"/>
                <w:szCs w:val="20"/>
              </w:rPr>
              <w:t>$7.00</w:t>
            </w:r>
          </w:p>
        </w:tc>
        <w:tc>
          <w:tcPr>
            <w:tcW w:w="9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5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$78,840 </w:t>
            </w:r>
          </w:p>
        </w:tc>
        <w:tc>
          <w:tcPr>
            <w:tcW w:w="182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$61,320 </w:t>
            </w:r>
          </w:p>
        </w:tc>
        <w:tc>
          <w:tcPr>
            <w:tcW w:w="9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80" w:type="dxa"/>
            <w:gridSpan w:val="2"/>
            <w:tcBorders/>
            <w:vAlign w:val="bottom"/>
          </w:tcPr>
          <w:p>
            <w:pPr>
              <w:pStyle w:val="Normal"/>
              <w:rPr>
                <w:rFonts w:ascii="Arial" w:hAnsi="Arial" w:eastAsia="Arial Unicode MS" w:cs="Arial"/>
                <w:sz w:val="20"/>
                <w:szCs w:val="20"/>
              </w:rPr>
            </w:pPr>
            <w:r>
              <w:rPr>
                <w:rFonts w:cs="Arial" w:ascii="Arial" w:hAnsi="Arial"/>
                <w:sz w:val="20"/>
                <w:szCs w:val="20"/>
              </w:rPr>
              <w:t>60% New Wind</w:t>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ascii="Arial" w:hAnsi="Arial" w:eastAsia="Arial Unicode MS" w:cs="Arial"/>
                <w:sz w:val="20"/>
                <w:szCs w:val="20"/>
              </w:rPr>
            </w:pPr>
            <w:r>
              <w:rPr>
                <w:rFonts w:cs="Arial" w:ascii="Arial" w:hAnsi="Arial"/>
                <w:sz w:val="20"/>
                <w:szCs w:val="20"/>
              </w:rPr>
              <w:t>$5.40</w:t>
            </w:r>
          </w:p>
        </w:tc>
        <w:tc>
          <w:tcPr>
            <w:tcW w:w="960" w:type="dxa"/>
            <w:tcBorders/>
            <w:vAlign w:val="bottom"/>
          </w:tcPr>
          <w:p>
            <w:pPr>
              <w:pStyle w:val="Normal"/>
              <w:jc w:val="center"/>
              <w:rPr>
                <w:rFonts w:ascii="Arial" w:hAnsi="Arial" w:eastAsia="Arial Unicode MS" w:cs="Arial"/>
                <w:sz w:val="20"/>
                <w:szCs w:val="20"/>
              </w:rPr>
            </w:pPr>
            <w:r>
              <w:rPr>
                <w:rFonts w:cs="Arial" w:ascii="Arial" w:hAnsi="Arial"/>
                <w:sz w:val="20"/>
                <w:szCs w:val="20"/>
              </w:rPr>
              <w:t>$4.20</w:t>
            </w:r>
          </w:p>
        </w:tc>
        <w:tc>
          <w:tcPr>
            <w:tcW w:w="9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5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$47,304 </w:t>
            </w:r>
          </w:p>
        </w:tc>
        <w:tc>
          <w:tcPr>
            <w:tcW w:w="182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$36,792 </w:t>
            </w:r>
          </w:p>
        </w:tc>
        <w:tc>
          <w:tcPr>
            <w:tcW w:w="9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000" w:type="dxa"/>
            <w:gridSpan w:val="4"/>
            <w:tcBorders/>
            <w:vAlign w:val="bottom"/>
          </w:tcPr>
          <w:p>
            <w:pPr>
              <w:pStyle w:val="Normal"/>
              <w:rPr>
                <w:rFonts w:ascii="Arial" w:hAnsi="Arial" w:eastAsia="Arial Unicode MS" w:cs="Arial"/>
                <w:sz w:val="20"/>
                <w:szCs w:val="20"/>
              </w:rPr>
            </w:pPr>
            <w:r>
              <w:rPr>
                <w:rFonts w:cs="Arial" w:ascii="Arial" w:hAnsi="Arial"/>
                <w:sz w:val="20"/>
                <w:szCs w:val="20"/>
              </w:rPr>
              <w:t>60% New Wind/40% New Biomass</w:t>
            </w:r>
          </w:p>
        </w:tc>
        <w:tc>
          <w:tcPr>
            <w:tcW w:w="960" w:type="dxa"/>
            <w:tcBorders/>
            <w:vAlign w:val="bottom"/>
          </w:tcPr>
          <w:p>
            <w:pPr>
              <w:pStyle w:val="Normal"/>
              <w:jc w:val="center"/>
              <w:rPr>
                <w:rFonts w:ascii="Arial" w:hAnsi="Arial" w:eastAsia="Arial Unicode MS" w:cs="Arial"/>
                <w:sz w:val="20"/>
                <w:szCs w:val="20"/>
              </w:rPr>
            </w:pPr>
            <w:r>
              <w:rPr>
                <w:rFonts w:cs="Arial" w:ascii="Arial" w:hAnsi="Arial"/>
                <w:sz w:val="20"/>
                <w:szCs w:val="20"/>
              </w:rPr>
              <w:t>$7.30</w:t>
            </w:r>
          </w:p>
        </w:tc>
        <w:tc>
          <w:tcPr>
            <w:tcW w:w="960" w:type="dxa"/>
            <w:tcBorders/>
            <w:vAlign w:val="bottom"/>
          </w:tcPr>
          <w:p>
            <w:pPr>
              <w:pStyle w:val="Normal"/>
              <w:jc w:val="center"/>
              <w:rPr>
                <w:rFonts w:ascii="Arial" w:hAnsi="Arial" w:eastAsia="Arial Unicode MS" w:cs="Arial"/>
                <w:sz w:val="20"/>
                <w:szCs w:val="20"/>
              </w:rPr>
            </w:pPr>
            <w:r>
              <w:rPr>
                <w:rFonts w:cs="Arial" w:ascii="Arial" w:hAnsi="Arial"/>
                <w:sz w:val="20"/>
                <w:szCs w:val="20"/>
              </w:rPr>
              <w:t>$6.10</w:t>
            </w:r>
          </w:p>
        </w:tc>
        <w:tc>
          <w:tcPr>
            <w:tcW w:w="9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5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$63,948 </w:t>
            </w:r>
          </w:p>
        </w:tc>
        <w:tc>
          <w:tcPr>
            <w:tcW w:w="182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$53,436 </w:t>
            </w:r>
          </w:p>
        </w:tc>
        <w:tc>
          <w:tcPr>
            <w:tcW w:w="9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000" w:type="dxa"/>
            <w:gridSpan w:val="4"/>
            <w:tcBorders/>
            <w:vAlign w:val="bottom"/>
          </w:tcPr>
          <w:p>
            <w:pPr>
              <w:pStyle w:val="Normal"/>
              <w:rPr>
                <w:rFonts w:ascii="Arial" w:hAnsi="Arial" w:eastAsia="Arial Unicode MS" w:cs="Arial"/>
                <w:sz w:val="20"/>
                <w:szCs w:val="20"/>
              </w:rPr>
            </w:pPr>
            <w:r>
              <w:rPr>
                <w:rFonts w:cs="Arial" w:ascii="Arial" w:hAnsi="Arial"/>
                <w:sz w:val="20"/>
                <w:szCs w:val="20"/>
              </w:rPr>
              <w:t>40% New Wind/60% New Biomass</w:t>
            </w:r>
          </w:p>
        </w:tc>
        <w:tc>
          <w:tcPr>
            <w:tcW w:w="960" w:type="dxa"/>
            <w:tcBorders/>
            <w:vAlign w:val="bottom"/>
          </w:tcPr>
          <w:p>
            <w:pPr>
              <w:pStyle w:val="Normal"/>
              <w:jc w:val="center"/>
              <w:rPr>
                <w:rFonts w:ascii="Arial" w:hAnsi="Arial" w:eastAsia="Arial Unicode MS" w:cs="Arial"/>
                <w:sz w:val="20"/>
                <w:szCs w:val="20"/>
              </w:rPr>
            </w:pPr>
            <w:r>
              <w:rPr>
                <w:rFonts w:cs="Arial" w:ascii="Arial" w:hAnsi="Arial"/>
                <w:sz w:val="20"/>
                <w:szCs w:val="20"/>
              </w:rPr>
              <w:t>$6.45</w:t>
            </w:r>
          </w:p>
        </w:tc>
        <w:tc>
          <w:tcPr>
            <w:tcW w:w="960" w:type="dxa"/>
            <w:tcBorders/>
            <w:vAlign w:val="bottom"/>
          </w:tcPr>
          <w:p>
            <w:pPr>
              <w:pStyle w:val="Normal"/>
              <w:jc w:val="center"/>
              <w:rPr>
                <w:rFonts w:ascii="Arial" w:hAnsi="Arial" w:eastAsia="Arial Unicode MS" w:cs="Arial"/>
                <w:sz w:val="20"/>
                <w:szCs w:val="20"/>
              </w:rPr>
            </w:pPr>
            <w:r>
              <w:rPr>
                <w:rFonts w:cs="Arial" w:ascii="Arial" w:hAnsi="Arial"/>
                <w:sz w:val="20"/>
                <w:szCs w:val="20"/>
              </w:rPr>
              <w:t>$5.65</w:t>
            </w:r>
          </w:p>
        </w:tc>
        <w:tc>
          <w:tcPr>
            <w:tcW w:w="9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5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$56,502 </w:t>
            </w:r>
          </w:p>
        </w:tc>
        <w:tc>
          <w:tcPr>
            <w:tcW w:w="182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$49,494 </w:t>
            </w:r>
          </w:p>
        </w:tc>
        <w:tc>
          <w:tcPr>
            <w:tcW w:w="9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4000" w:type="dxa"/>
            <w:gridSpan w:val="4"/>
            <w:tcBorders/>
            <w:vAlign w:val="bottom"/>
          </w:tcPr>
          <w:p>
            <w:pPr>
              <w:pStyle w:val="Normal"/>
              <w:rPr>
                <w:rFonts w:ascii="Arial" w:hAnsi="Arial" w:eastAsia="Arial Unicode MS" w:cs="Arial"/>
                <w:sz w:val="20"/>
                <w:szCs w:val="20"/>
              </w:rPr>
            </w:pPr>
            <w:r>
              <w:rPr>
                <w:rFonts w:cs="Arial" w:ascii="Arial" w:hAnsi="Arial"/>
                <w:sz w:val="20"/>
                <w:szCs w:val="20"/>
              </w:rPr>
              <w:t>60% New Wind/30% New Biomass/</w:t>
            </w:r>
          </w:p>
        </w:tc>
        <w:tc>
          <w:tcPr>
            <w:tcW w:w="960" w:type="dxa"/>
            <w:tcBorders/>
            <w:vAlign w:val="bottom"/>
          </w:tcPr>
          <w:p>
            <w:pPr>
              <w:pStyle w:val="Normal"/>
              <w:jc w:val="center"/>
              <w:rPr>
                <w:rFonts w:ascii="Arial" w:hAnsi="Arial" w:eastAsia="Arial Unicode MS" w:cs="Arial"/>
                <w:sz w:val="20"/>
                <w:szCs w:val="20"/>
              </w:rPr>
            </w:pPr>
            <w:r>
              <w:rPr>
                <w:rFonts w:cs="Arial" w:ascii="Arial" w:hAnsi="Arial"/>
                <w:sz w:val="20"/>
                <w:szCs w:val="20"/>
              </w:rPr>
              <w:t>$6.95</w:t>
            </w:r>
          </w:p>
        </w:tc>
        <w:tc>
          <w:tcPr>
            <w:tcW w:w="960" w:type="dxa"/>
            <w:tcBorders/>
            <w:vAlign w:val="bottom"/>
          </w:tcPr>
          <w:p>
            <w:pPr>
              <w:pStyle w:val="Normal"/>
              <w:jc w:val="center"/>
              <w:rPr>
                <w:rFonts w:ascii="Arial" w:hAnsi="Arial" w:eastAsia="Arial Unicode MS" w:cs="Arial"/>
                <w:sz w:val="20"/>
                <w:szCs w:val="20"/>
              </w:rPr>
            </w:pPr>
            <w:r>
              <w:rPr>
                <w:rFonts w:cs="Arial" w:ascii="Arial" w:hAnsi="Arial"/>
                <w:sz w:val="20"/>
                <w:szCs w:val="20"/>
              </w:rPr>
              <w:t>$5.75</w:t>
            </w:r>
          </w:p>
        </w:tc>
        <w:tc>
          <w:tcPr>
            <w:tcW w:w="9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5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$60,882 </w:t>
            </w:r>
          </w:p>
        </w:tc>
        <w:tc>
          <w:tcPr>
            <w:tcW w:w="182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$50,370 </w:t>
            </w:r>
          </w:p>
        </w:tc>
        <w:tc>
          <w:tcPr>
            <w:tcW w:w="9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040" w:type="dxa"/>
            <w:gridSpan w:val="3"/>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10% Existing Biomass</w:t>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2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pPr>
      <w:r>
        <w:rPr/>
      </w:r>
    </w:p>
    <w:p>
      <w:pPr>
        <w:pStyle w:val="Heading1"/>
        <w:ind w:hanging="0" w:start="0"/>
        <w:rPr/>
      </w:pPr>
      <w:r>
        <w:rPr/>
        <w:t>Financial Fixed-Price Renewable Energy Credits</w:t>
      </w:r>
    </w:p>
    <w:p>
      <w:pPr>
        <w:pStyle w:val="Normal"/>
        <w:rPr/>
      </w:pPr>
      <w:r>
        <w:rPr/>
        <w:t xml:space="preserve">The sale of Renewable Energy Credits separate from the physical commodity has been somewhat controversial over the years, as some customers have been uncomfortable disaggregating the credits from the underlying power. Enron has been a strong advocate of REC trading since the mid-1990s, and I continue to be a firm believer that the development of a robust and liquid market for RECs will be a major factor in the growth of the renewable power market in the United States. I say this after having worked extensively with wind and biomass developers throughout the Western United States. In many instances, I have seen how the sale of RECs has been the make-or-break feature in project economics. Increasingly, as renewable generators attempt to sell their power into the wholesale market at prevailing prices, the ability to supplement their wholesale revenues with REC sales will become more and more important. Given the geographical diversity of your group, the purchase of financial RECs - separate from physical energy - may be the best option. The pricing for such RECs would be the same as the prices quoted above. </w:t>
      </w:r>
    </w:p>
    <w:p>
      <w:pPr>
        <w:pStyle w:val="Normal"/>
        <w:rPr/>
      </w:pPr>
      <w:r>
        <w:rPr/>
      </w:r>
    </w:p>
    <w:p>
      <w:pPr>
        <w:pStyle w:val="Normal"/>
        <w:rPr/>
      </w:pPr>
      <w:r>
        <w:rPr/>
        <w:t xml:space="preserve">It is important to point out that my goal is to provide your Group with the most competitively-priced RECs in the market. Enron’s margins in these transactions come from marketing fees charged to the generators, not to the members of your Group. Our role is to act as marketing agent for entities who spend the bulk of their time and resources on developing physical megawatts. We add value by offering greater liquidity and market reach to their efforts. At the same time, I believe that we can add value to your efforts by providing products that may be beyond the scope of other players with smaller market reach, experience, and creditworthiness. </w:t>
      </w:r>
    </w:p>
    <w:p>
      <w:pPr>
        <w:pStyle w:val="Normal"/>
        <w:rPr/>
      </w:pPr>
      <w:r>
        <w:rPr/>
      </w:r>
    </w:p>
    <w:p>
      <w:pPr>
        <w:pStyle w:val="Heading1"/>
        <w:ind w:hanging="0" w:start="0"/>
        <w:rPr/>
      </w:pPr>
      <w:r>
        <w:rPr/>
        <w:t>Financial Fixed-Price Renewable Energy Credits with Embedded Call Options</w:t>
      </w:r>
    </w:p>
    <w:p>
      <w:pPr>
        <w:pStyle w:val="Normal"/>
        <w:rPr/>
      </w:pPr>
      <w:r>
        <w:rPr/>
        <w:t xml:space="preserve">Since my first meeting with members of the Green Power Market Development Group, a recurring theme has been the need for a renewable energy product that also acts as a hedge against future electricity price volatility. There has also been discussion that members of the Group are willing to pay a reasonable premium for green power, but want to monetize the financial benefits of a “green hedge” if electricity prices skyrocket. This, of course, is Enron’s core business -- providing price risk management products to energy producers and consumers. As a result, it would be relatively straightforward to develop a renewable power product that would also provide a financial pay-out in the event of regional power price spikes. In the language of power marketing, this would involve offering a REC with an embedded call option. </w:t>
      </w:r>
    </w:p>
    <w:p>
      <w:pPr>
        <w:pStyle w:val="Normal"/>
        <w:rPr/>
      </w:pPr>
      <w:r>
        <w:rPr/>
      </w:r>
    </w:p>
    <w:p>
      <w:pPr>
        <w:pStyle w:val="Normal"/>
        <w:rPr/>
      </w:pPr>
      <w:r>
        <w:rPr/>
        <w:t>An electricity call option provides its owner with the right, but not the obligation, to purchase electricity at a certain price per megawatt hour at a certain date in the future. For example, an electricity consumer might pay $4.00 for the right to purchase a megawatt hour of electricity one year in the future for $45.00/MWh. One year hence, if electricity was selling for $40.00/MWh, the user would not exercise the option. However, if electricity was selling for $50.00/MWh, the user would exercise the option to buy at $45.00, realizing a financial gain of $5.00/MWh. Call options are frequently used as a hedge by large electricity consumers who purchase energy in the volatile spot markets. They pay a premium for the peace of mind of knowing that their exposure to spot market prices is limited to a certain price per megawatt hour. Call options can also be used to benefit from spot market volatility; for our purposes, they can be blended with RECs to pay out financially if prices spike.</w:t>
      </w:r>
    </w:p>
    <w:p>
      <w:pPr>
        <w:pStyle w:val="Normal"/>
        <w:rPr/>
      </w:pPr>
      <w:r>
        <w:rPr/>
      </w:r>
    </w:p>
    <w:p>
      <w:pPr>
        <w:pStyle w:val="Normal"/>
        <w:rPr/>
      </w:pPr>
      <w:r>
        <w:rPr/>
        <w:t xml:space="preserve">For example, members of the Group might each agree to purchase 2 MW of RECs with embedded calls for $10.00/MW in the Pacific Northwest. The calls would have a “strike price” of $45.00/MWh. For each megawatt hour, the members would pay $10.00, but would also receive a payout if prices on the Mid-Columbia power index averaged more than $45.00/MWh over the course of each month. For each dollar that Mid-Columbia prices exceeded $45.00/MWh, each member would receive $1.00 multiplied by the volume of RECs they purchased for the month. To be even more specific, let’s say that Member X purchased a 2 MW allotment of RECs with $45.00 strike calls for $10.00 for the month of January. Over the course of the 31 days in the month, Member X would purchase 1,488 MWhs of RECs (24 hours/day X 31 days X 2MW/hour = 1,488 MWhs). Total expenditures over the course of the month would be $14,880 (1,488 X $10.00). At the end of the month, Enron would look at the average price of energy for the month (as determined by the published Dow Jones Mid-Columbia electricity price index). If the average price was below $45.00/MWh, there would be no payout. However, let’s say that the average Mid-Columbia price for January was $47.00/MWh. The embedded option would be $2.00 “in-the-money” relative to the $45.00 strike price. Enron would issue a payout to Member X in the amount of $2,976 ($2.00 X 1,488MWh). In essence, Member X would have received the financial benefit of the higher prices at Mid-Columbia through the purchase of the call option. </w:t>
      </w:r>
    </w:p>
    <w:p>
      <w:pPr>
        <w:pStyle w:val="Normal"/>
        <w:rPr/>
      </w:pPr>
      <w:r>
        <w:rPr/>
      </w:r>
    </w:p>
    <w:p>
      <w:pPr>
        <w:pStyle w:val="Normal"/>
        <w:rPr/>
      </w:pPr>
      <w:r>
        <w:rPr/>
        <w:t xml:space="preserve">The price of a call option is a function of the strike price and the time to maturity. In general, the higher the strike price, the lower the premium. If power prices are currently $40.00, a call option with a $45.00 strike is said to be $5.00 “out of the money.” Therefore, the further a call is out of the money, the cheaper is the up-front premium required to purchase it. Below, I have provided a table of the costs of a variety of call options in different markets across the U.S. It is also possible to put together a basket of such options with entities who have price exposure across the country or who wish to participate in upside movements in a diverse array of markets. </w:t>
      </w:r>
    </w:p>
    <w:p>
      <w:pPr>
        <w:pStyle w:val="Normal"/>
        <w:rPr/>
      </w:pPr>
      <w:r>
        <w:rPr/>
      </w:r>
    </w:p>
    <w:tbl>
      <w:tblPr>
        <w:tblW w:w="5054" w:type="dxa"/>
        <w:jc w:val="start"/>
        <w:tblInd w:w="0" w:type="dxa"/>
        <w:tblLayout w:type="fixed"/>
        <w:tblCellMar>
          <w:top w:w="15" w:type="dxa"/>
          <w:start w:w="15" w:type="dxa"/>
          <w:bottom w:w="0" w:type="dxa"/>
          <w:end w:w="15" w:type="dxa"/>
        </w:tblCellMar>
      </w:tblPr>
      <w:tblGrid>
        <w:gridCol w:w="1736"/>
        <w:gridCol w:w="1019"/>
        <w:gridCol w:w="1019"/>
        <w:gridCol w:w="1198"/>
        <w:gridCol w:w="82"/>
      </w:tblGrid>
      <w:tr>
        <w:trPr>
          <w:trHeight w:val="283" w:hRule="atLeast"/>
        </w:trPr>
        <w:tc>
          <w:tcPr>
            <w:tcW w:w="5054" w:type="dxa"/>
            <w:gridSpan w:val="5"/>
            <w:tcBorders>
              <w:top w:val="single" w:sz="8" w:space="0" w:color="000000"/>
              <w:start w:val="single" w:sz="8" w:space="0" w:color="000000"/>
              <w:bottom w:val="single" w:sz="8" w:space="0" w:color="000000"/>
              <w:end w:val="single" w:sz="8" w:space="0" w:color="000000"/>
            </w:tcBorders>
            <w:shd w:fill="E3E3E3" w:val="clear"/>
            <w:vAlign w:val="bottom"/>
          </w:tcPr>
          <w:p>
            <w:pPr>
              <w:pStyle w:val="Heading2"/>
              <w:ind w:hanging="0" w:start="0"/>
              <w:rPr>
                <w:rFonts w:eastAsia="Arial Unicode MS"/>
              </w:rPr>
            </w:pPr>
            <w:r>
              <w:rPr/>
              <w:t>Call Option Premiums</w:t>
            </w:r>
          </w:p>
        </w:tc>
      </w:tr>
      <w:tr>
        <w:trPr>
          <w:trHeight w:val="267" w:hRule="atLeast"/>
        </w:trPr>
        <w:tc>
          <w:tcPr>
            <w:tcW w:w="17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038" w:type="dxa"/>
            <w:gridSpan w:val="2"/>
            <w:tcBorders>
              <w:start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Strike Price</w:t>
            </w:r>
          </w:p>
        </w:tc>
        <w:tc>
          <w:tcPr>
            <w:tcW w:w="1198"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82"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67" w:hRule="atLeast"/>
        </w:trPr>
        <w:tc>
          <w:tcPr>
            <w:tcW w:w="1736"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Region</w:t>
            </w:r>
          </w:p>
        </w:tc>
        <w:tc>
          <w:tcPr>
            <w:tcW w:w="1019" w:type="dxa"/>
            <w:tcBorders>
              <w:start w:val="single" w:sz="4" w:space="0" w:color="000000"/>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$3 Out</w:t>
            </w:r>
          </w:p>
        </w:tc>
        <w:tc>
          <w:tcPr>
            <w:tcW w:w="1019"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$5 Out</w:t>
            </w:r>
          </w:p>
        </w:tc>
        <w:tc>
          <w:tcPr>
            <w:tcW w:w="1198"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$10 Out</w:t>
            </w:r>
          </w:p>
        </w:tc>
        <w:tc>
          <w:tcPr>
            <w:tcW w:w="82"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67" w:hRule="atLeast"/>
        </w:trPr>
        <w:tc>
          <w:tcPr>
            <w:tcW w:w="1736"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Northwest</w:t>
            </w:r>
          </w:p>
        </w:tc>
        <w:tc>
          <w:tcPr>
            <w:tcW w:w="1019"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$9.48 </w:t>
            </w:r>
          </w:p>
        </w:tc>
        <w:tc>
          <w:tcPr>
            <w:tcW w:w="1019"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$9.06 </w:t>
            </w:r>
          </w:p>
        </w:tc>
        <w:tc>
          <w:tcPr>
            <w:tcW w:w="1198"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$8.19 </w:t>
            </w:r>
          </w:p>
        </w:tc>
        <w:tc>
          <w:tcPr>
            <w:tcW w:w="82" w:type="dxa"/>
            <w:tcBorders/>
            <w:vAlign w:val="bottom"/>
          </w:tcPr>
          <w:p>
            <w:pPr>
              <w:pStyle w:val="Normal"/>
              <w:snapToGrid w:val="false"/>
              <w:rPr>
                <w:rFonts w:ascii="Arial" w:hAnsi="Arial" w:eastAsia="Arial Unicode MS" w:cs="Arial"/>
                <w:color w:val="000000"/>
                <w:sz w:val="20"/>
                <w:szCs w:val="20"/>
              </w:rPr>
            </w:pPr>
            <w:r>
              <w:rPr>
                <w:rFonts w:eastAsia="Arial Unicode MS" w:cs="Arial" w:ascii="Arial" w:hAnsi="Arial"/>
                <w:color w:val="000000"/>
                <w:sz w:val="20"/>
                <w:szCs w:val="20"/>
              </w:rPr>
            </w:r>
          </w:p>
        </w:tc>
      </w:tr>
      <w:tr>
        <w:trPr>
          <w:trHeight w:val="267" w:hRule="atLeast"/>
        </w:trPr>
        <w:tc>
          <w:tcPr>
            <w:tcW w:w="1736"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Texas</w:t>
            </w:r>
          </w:p>
        </w:tc>
        <w:tc>
          <w:tcPr>
            <w:tcW w:w="1019"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$6.44 </w:t>
            </w:r>
          </w:p>
        </w:tc>
        <w:tc>
          <w:tcPr>
            <w:tcW w:w="1019"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$5.81 </w:t>
            </w:r>
          </w:p>
        </w:tc>
        <w:tc>
          <w:tcPr>
            <w:tcW w:w="1198"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$4.60 </w:t>
            </w:r>
          </w:p>
        </w:tc>
        <w:tc>
          <w:tcPr>
            <w:tcW w:w="82" w:type="dxa"/>
            <w:tcBorders/>
            <w:vAlign w:val="bottom"/>
          </w:tcPr>
          <w:p>
            <w:pPr>
              <w:pStyle w:val="Normal"/>
              <w:snapToGrid w:val="false"/>
              <w:rPr>
                <w:rFonts w:ascii="Arial" w:hAnsi="Arial" w:eastAsia="Arial Unicode MS" w:cs="Arial"/>
                <w:color w:val="000000"/>
                <w:sz w:val="20"/>
                <w:szCs w:val="20"/>
              </w:rPr>
            </w:pPr>
            <w:r>
              <w:rPr>
                <w:rFonts w:eastAsia="Arial Unicode MS" w:cs="Arial" w:ascii="Arial" w:hAnsi="Arial"/>
                <w:color w:val="000000"/>
                <w:sz w:val="20"/>
                <w:szCs w:val="20"/>
              </w:rPr>
            </w:r>
          </w:p>
        </w:tc>
      </w:tr>
      <w:tr>
        <w:trPr>
          <w:trHeight w:val="267" w:hRule="atLeast"/>
        </w:trPr>
        <w:tc>
          <w:tcPr>
            <w:tcW w:w="1736"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Mid-Atlantic</w:t>
            </w:r>
          </w:p>
        </w:tc>
        <w:tc>
          <w:tcPr>
            <w:tcW w:w="1019"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$6.05 </w:t>
            </w:r>
          </w:p>
        </w:tc>
        <w:tc>
          <w:tcPr>
            <w:tcW w:w="1019"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$5.42 </w:t>
            </w:r>
          </w:p>
        </w:tc>
        <w:tc>
          <w:tcPr>
            <w:tcW w:w="1198"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$4.24 </w:t>
            </w:r>
          </w:p>
        </w:tc>
        <w:tc>
          <w:tcPr>
            <w:tcW w:w="82" w:type="dxa"/>
            <w:tcBorders/>
            <w:vAlign w:val="bottom"/>
          </w:tcPr>
          <w:p>
            <w:pPr>
              <w:pStyle w:val="Normal"/>
              <w:snapToGrid w:val="false"/>
              <w:rPr>
                <w:rFonts w:ascii="Arial" w:hAnsi="Arial" w:eastAsia="Arial Unicode MS" w:cs="Arial"/>
                <w:color w:val="000000"/>
                <w:sz w:val="20"/>
                <w:szCs w:val="20"/>
              </w:rPr>
            </w:pPr>
            <w:r>
              <w:rPr>
                <w:rFonts w:eastAsia="Arial Unicode MS" w:cs="Arial" w:ascii="Arial" w:hAnsi="Arial"/>
                <w:color w:val="000000"/>
                <w:sz w:val="20"/>
                <w:szCs w:val="20"/>
              </w:rPr>
            </w:r>
          </w:p>
        </w:tc>
      </w:tr>
      <w:tr>
        <w:trPr>
          <w:trHeight w:val="267" w:hRule="atLeast"/>
        </w:trPr>
        <w:tc>
          <w:tcPr>
            <w:tcW w:w="1736"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California</w:t>
            </w:r>
          </w:p>
        </w:tc>
        <w:tc>
          <w:tcPr>
            <w:tcW w:w="1019"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$9.06 </w:t>
            </w:r>
          </w:p>
        </w:tc>
        <w:tc>
          <w:tcPr>
            <w:tcW w:w="1019"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$8.65 </w:t>
            </w:r>
          </w:p>
        </w:tc>
        <w:tc>
          <w:tcPr>
            <w:tcW w:w="1198" w:type="dxa"/>
            <w:tcBorders/>
            <w:vAlign w:val="bottom"/>
          </w:tcPr>
          <w:p>
            <w:pPr>
              <w:pStyle w:val="Normal"/>
              <w:jc w:val="end"/>
              <w:rPr>
                <w:rFonts w:ascii="Arial" w:hAnsi="Arial" w:eastAsia="Arial Unicode MS" w:cs="Arial"/>
                <w:color w:val="000000"/>
                <w:sz w:val="20"/>
                <w:szCs w:val="20"/>
              </w:rPr>
            </w:pPr>
            <w:r>
              <w:rPr>
                <w:rFonts w:cs="Arial" w:ascii="Arial" w:hAnsi="Arial"/>
                <w:color w:val="000000"/>
                <w:sz w:val="20"/>
                <w:szCs w:val="20"/>
              </w:rPr>
              <w:t xml:space="preserve">$7.99 </w:t>
            </w:r>
          </w:p>
        </w:tc>
        <w:tc>
          <w:tcPr>
            <w:tcW w:w="82" w:type="dxa"/>
            <w:tcBorders/>
            <w:vAlign w:val="bottom"/>
          </w:tcPr>
          <w:p>
            <w:pPr>
              <w:pStyle w:val="Normal"/>
              <w:snapToGrid w:val="false"/>
              <w:rPr>
                <w:rFonts w:ascii="Arial" w:hAnsi="Arial" w:eastAsia="Arial Unicode MS" w:cs="Arial"/>
                <w:color w:val="000000"/>
                <w:sz w:val="20"/>
                <w:szCs w:val="20"/>
              </w:rPr>
            </w:pPr>
            <w:r>
              <w:rPr>
                <w:rFonts w:eastAsia="Arial Unicode MS" w:cs="Arial" w:ascii="Arial" w:hAnsi="Arial"/>
                <w:color w:val="000000"/>
                <w:sz w:val="20"/>
                <w:szCs w:val="20"/>
              </w:rPr>
            </w:r>
          </w:p>
        </w:tc>
      </w:tr>
    </w:tbl>
    <w:p>
      <w:pPr>
        <w:pStyle w:val="Normal"/>
        <w:rPr/>
      </w:pPr>
      <w:r>
        <w:rPr/>
      </w:r>
    </w:p>
    <w:p>
      <w:pPr>
        <w:pStyle w:val="Normal"/>
        <w:rPr/>
      </w:pPr>
      <w:r>
        <w:rPr/>
        <w:t>Clearly, call option premiums in Western markets, which have recently experienced unprecedented volatility, are much higher than those in Texas and the East. Call options that are $10.00 “out-of-the-money” are also much more affordable, and probably make the most sense as the goal of combining a REC with a call option is to benefit in the event that fossil fuel prices skyrocket, which would be captured by options with relatively high strike prices. If the 11 corporate members of Green Power Market Development Group agreed to purchase a combined 40 MW of RECs with embedded calls, the average purchase would be for 3.6 MW of capacity. Taking the most expensive case as an example – the purchase of 100% New Wind from the WSCC with $3.00 out-of-the money call options – total annual expenditure would be $569,540. On the other end of the spectrum, a Texas-based member purchasing a 40% wind/60% biomass product with $10.00 out-of-the-money call options would spend $323,244 annually. I am committed to working with the members of your Group to provide the most appealing, financially tenable products available.</w:t>
      </w:r>
    </w:p>
    <w:p>
      <w:pPr>
        <w:pStyle w:val="Normal"/>
        <w:rPr/>
      </w:pPr>
      <w:r>
        <w:rPr/>
      </w:r>
    </w:p>
    <w:p>
      <w:pPr>
        <w:pStyle w:val="Normal"/>
        <w:rPr/>
      </w:pPr>
      <w:r>
        <w:rPr/>
        <w:t>On a related note, Mark Crowdis and I also spoke briefly about the possibility of writing contracts for differences against specific price indices, which would provide financial security for renewable generators selling into spot markets and financial upside for members of the Group if prices were to rise considerably. I am currently in talks with a major wind generator in the WSCC regarding this concept, but do not have definitive numbers yet because he is actively engaged in contract negotiations and may not have any spot market exposure in the near future. I will keep you apprised of these discussions and look forward to sharing information as it comes in.</w:t>
      </w:r>
    </w:p>
    <w:p>
      <w:pPr>
        <w:pStyle w:val="Normal"/>
        <w:rPr/>
      </w:pPr>
      <w:r>
        <w:rPr/>
      </w:r>
    </w:p>
    <w:p>
      <w:pPr>
        <w:pStyle w:val="Heading1"/>
        <w:ind w:hanging="0" w:start="0"/>
        <w:rPr/>
      </w:pPr>
      <w:r>
        <w:rPr/>
        <w:t>Conclusion</w:t>
      </w:r>
    </w:p>
    <w:p>
      <w:pPr>
        <w:pStyle w:val="Normal"/>
        <w:rPr/>
      </w:pPr>
      <w:r>
        <w:rPr/>
        <w:t>Enron has had longstanding working relationships with several members of the Green Power Market Development Group, and I trust that these dealings have laid the foundation for positive working relationships in the future. I thought it might also be worth mentioning that we have extensive operations in Europe and Canada, which may be of interest to members with multinational operations. Our European office, in particular, is becoming actively involved in the green power sector as European policymakers continue to outpace the U.S. in developing enlightened energy policy.</w:t>
      </w:r>
    </w:p>
    <w:p>
      <w:pPr>
        <w:pStyle w:val="Normal"/>
        <w:rPr/>
      </w:pPr>
      <w:r>
        <w:rPr/>
      </w:r>
    </w:p>
    <w:p>
      <w:pPr>
        <w:pStyle w:val="Normal"/>
        <w:rPr/>
      </w:pPr>
      <w:r>
        <w:rPr/>
        <w:t xml:space="preserve">I would appreciate a chance to meet with you in the near future to discuss this proposal and to consider other strategies to meet your needs, both in the short term and over the next few years. </w:t>
      </w:r>
    </w:p>
    <w:p>
      <w:pPr>
        <w:pStyle w:val="Normal"/>
        <w:rPr/>
      </w:pPr>
      <w:r>
        <w:rPr/>
      </w:r>
    </w:p>
    <w:p>
      <w:pPr>
        <w:pStyle w:val="Normal"/>
        <w:rPr/>
      </w:pPr>
      <w:r>
        <w:rPr/>
      </w:r>
    </w:p>
    <w:p>
      <w:pPr>
        <w:pStyle w:val="Normal"/>
        <w:rPr/>
      </w:pPr>
      <w:r>
        <w:rPr/>
        <w:t>With best wishes,</w:t>
      </w:r>
    </w:p>
    <w:p>
      <w:pPr>
        <w:pStyle w:val="Normal"/>
        <w:rPr/>
      </w:pPr>
      <w:r>
        <w:rPr/>
      </w:r>
    </w:p>
    <w:p>
      <w:pPr>
        <w:pStyle w:val="Normal"/>
        <w:rPr/>
      </w:pPr>
      <w:r>
        <w:rPr/>
      </w:r>
    </w:p>
    <w:p>
      <w:pPr>
        <w:pStyle w:val="Normal"/>
        <w:rPr/>
      </w:pPr>
      <w:r>
        <w:rPr/>
        <w:t>Elliot Mainzer</w:t>
      </w:r>
    </w:p>
    <w:p>
      <w:pPr>
        <w:pStyle w:val="Normal"/>
        <w:rPr/>
      </w:pPr>
      <w:r>
        <w:rPr/>
        <w:t>Renewable Power Desk</w:t>
      </w:r>
    </w:p>
    <w:p>
      <w:pPr>
        <w:pStyle w:val="Normal"/>
        <w:rPr/>
      </w:pPr>
      <w:r>
        <w:rPr/>
        <w:t>Enron North America</w:t>
      </w:r>
    </w:p>
    <w:p>
      <w:pPr>
        <w:pStyle w:val="Normal"/>
        <w:rPr/>
      </w:pPr>
      <w:r>
        <w:rPr/>
        <w:t>121 SW Salmon St.</w:t>
      </w:r>
    </w:p>
    <w:p>
      <w:pPr>
        <w:pStyle w:val="Normal"/>
        <w:rPr/>
      </w:pPr>
      <w:r>
        <w:rPr/>
        <w:t>3WTC-0306</w:t>
      </w:r>
    </w:p>
    <w:p>
      <w:pPr>
        <w:pStyle w:val="Normal"/>
        <w:rPr/>
      </w:pPr>
      <w:r>
        <w:rPr/>
        <w:t>Portland, OR  97201</w:t>
      </w:r>
    </w:p>
    <w:p>
      <w:pPr>
        <w:pStyle w:val="Normal"/>
        <w:rPr/>
      </w:pPr>
      <w:r>
        <w:rPr/>
        <w:t>(503) 464-3706</w:t>
      </w:r>
    </w:p>
    <w:p>
      <w:pPr>
        <w:pStyle w:val="Normal"/>
        <w:rPr/>
      </w:pPr>
      <w:r>
        <w:rPr/>
        <w:t>elliot.mainzer@enron.com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color w:val="000000"/>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2001-08-29T15:45:00Z</dcterms:created>
  <dc:creator>emainze</dc:creator>
  <dc:description/>
  <dc:language>en-CA</dc:language>
  <cp:lastModifiedBy>emainze</cp:lastModifiedBy>
  <cp:lastPrinted>2001-09-04T17:23:00Z</cp:lastPrinted>
  <dcterms:modified xsi:type="dcterms:W3CDTF">2001-09-04T22:18:00Z</dcterms:modified>
  <cp:revision>11</cp:revision>
  <dc:subject/>
  <dc:title>Mark D</dc:title>
</cp:coreProperties>
</file>