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szCs w:val="20"/>
        </w:rPr>
      </w:pPr>
      <w:r>
        <w:rPr>
          <w:szCs w:val="20"/>
        </w:rPr>
        <w:t>August 7, 2001</w:t>
      </w:r>
    </w:p>
    <w:p>
      <w:pPr>
        <w:pStyle w:val="Normal"/>
        <w:autoSpaceDE w:val="false"/>
        <w:rPr>
          <w:szCs w:val="20"/>
        </w:rPr>
      </w:pPr>
      <w:r>
        <w:rPr>
          <w:szCs w:val="20"/>
        </w:rPr>
      </w:r>
    </w:p>
    <w:p>
      <w:pPr>
        <w:pStyle w:val="Normal"/>
        <w:autoSpaceDE w:val="false"/>
        <w:rPr>
          <w:szCs w:val="20"/>
        </w:rPr>
      </w:pPr>
      <w:r>
        <w:rPr>
          <w:szCs w:val="20"/>
        </w:rPr>
        <w:t xml:space="preserve">To: </w:t>
        <w:tab/>
        <w:t>Members of the Green Power Market Development Group</w:t>
      </w:r>
    </w:p>
    <w:p>
      <w:pPr>
        <w:pStyle w:val="Normal"/>
        <w:autoSpaceDE w:val="false"/>
        <w:rPr>
          <w:szCs w:val="20"/>
        </w:rPr>
      </w:pPr>
      <w:r>
        <w:rPr>
          <w:szCs w:val="20"/>
        </w:rPr>
      </w:r>
    </w:p>
    <w:p>
      <w:pPr>
        <w:pStyle w:val="Normal"/>
        <w:autoSpaceDE w:val="false"/>
        <w:rPr>
          <w:szCs w:val="20"/>
        </w:rPr>
      </w:pPr>
      <w:r>
        <w:rPr>
          <w:szCs w:val="20"/>
        </w:rPr>
        <w:t>From:</w:t>
        <w:tab/>
        <w:t>Elliot Mainzer, Renewable Power Desk, Enron North America</w:t>
      </w:r>
    </w:p>
    <w:p>
      <w:pPr>
        <w:pStyle w:val="Normal"/>
        <w:autoSpaceDE w:val="false"/>
        <w:rPr>
          <w:szCs w:val="20"/>
        </w:rPr>
      </w:pPr>
      <w:r>
        <w:rPr>
          <w:szCs w:val="20"/>
        </w:rPr>
      </w:r>
    </w:p>
    <w:p>
      <w:pPr>
        <w:pStyle w:val="Normal"/>
        <w:autoSpaceDE w:val="false"/>
        <w:rPr>
          <w:szCs w:val="20"/>
        </w:rPr>
      </w:pPr>
      <w:r>
        <w:rPr>
          <w:szCs w:val="20"/>
        </w:rPr>
        <w:t>Re:</w:t>
        <w:tab/>
        <w:t>Potential Collaboration</w:t>
      </w:r>
    </w:p>
    <w:p>
      <w:pPr>
        <w:pStyle w:val="Normal"/>
        <w:autoSpaceDE w:val="false"/>
        <w:rPr>
          <w:szCs w:val="20"/>
        </w:rPr>
      </w:pPr>
      <w:r>
        <w:rPr>
          <w:szCs w:val="20"/>
        </w:rPr>
      </w:r>
    </w:p>
    <w:p>
      <w:pPr>
        <w:pStyle w:val="Normal"/>
        <w:autoSpaceDE w:val="false"/>
        <w:rPr>
          <w:szCs w:val="20"/>
        </w:rPr>
      </w:pPr>
      <w:r>
        <w:rPr>
          <w:szCs w:val="20"/>
        </w:rPr>
      </w:r>
    </w:p>
    <w:p>
      <w:pPr>
        <w:pStyle w:val="Normal"/>
        <w:autoSpaceDE w:val="false"/>
        <w:rPr>
          <w:szCs w:val="20"/>
        </w:rPr>
      </w:pPr>
      <w:r>
        <w:rPr>
          <w:szCs w:val="20"/>
        </w:rPr>
        <w:t>Last week’s Green Power Conference here in Portland provided an excellent opportunity to learn a bit more about the activities of the Green Power Market Development Group. In short, I firmly believe that the direction you are headed has the potential to have a major impact on the green power market, and I would appreciate a chance to speak with your group in greater detail about Enron’s activities in the renewable power sector and some ideas for products which may meet your green power needs.</w:t>
      </w:r>
    </w:p>
    <w:p>
      <w:pPr>
        <w:pStyle w:val="Normal"/>
        <w:autoSpaceDE w:val="false"/>
        <w:rPr>
          <w:szCs w:val="20"/>
        </w:rPr>
      </w:pPr>
      <w:r>
        <w:rPr>
          <w:szCs w:val="20"/>
        </w:rPr>
      </w:r>
    </w:p>
    <w:p>
      <w:pPr>
        <w:pStyle w:val="Normal"/>
        <w:autoSpaceDE w:val="false"/>
        <w:rPr>
          <w:szCs w:val="20"/>
        </w:rPr>
      </w:pPr>
      <w:r>
        <w:rPr>
          <w:szCs w:val="20"/>
        </w:rPr>
        <w:t>At present, I am in the process of procuring a portfolio of green power to meet the electricity requirements of Enron's headquarters in Houston. While we have yet to finalize the purchase, I am optimistic about the prospects for completing the transaction and joining the ranks of companies with a commitment to green power. At the same time, we have aligned the wholesale and retail sides of our business to enable us to purchase and trade renewable power at the wholesale level and market power and Renewable Energy Credits (RECs) at the retail level. As a result of this effort, we are in advanced negotiations with Larry Rogero to provide Kinko’s with a 5-year renewable power product in Texas.</w:t>
      </w:r>
    </w:p>
    <w:p>
      <w:pPr>
        <w:pStyle w:val="Normal"/>
        <w:autoSpaceDE w:val="false"/>
        <w:rPr>
          <w:szCs w:val="20"/>
        </w:rPr>
      </w:pPr>
      <w:r>
        <w:rPr>
          <w:szCs w:val="20"/>
        </w:rPr>
      </w:r>
    </w:p>
    <w:p>
      <w:pPr>
        <w:pStyle w:val="Normal"/>
        <w:autoSpaceDE w:val="false"/>
        <w:rPr>
          <w:szCs w:val="20"/>
        </w:rPr>
      </w:pPr>
      <w:r>
        <w:rPr>
          <w:szCs w:val="20"/>
        </w:rPr>
        <w:t xml:space="preserve">Regarding the interests of your broader group, my understanding is that while you represent a united front as a buying group, your power requirements and pricing points are diverse. We can offer a broad array of potential transaction structures, from fixed-priced retail power products and portfolios of RECs to creative new products with insurance-like qualities. For example, Jennifer Finlay has expressed interest in a renewable product that provides a hedge against future electricity price volatility. To this end, I have worked with our Financial Analytics Desk to price a series of Renewable Energy Credits with embedded call options, which, for a fixed price, provide protection against rising wholesale power prices. While there is an incremental price associated with such a product -- the price of the embedded option -- it can be structured in a way that provides insurance against a range of outcomes, and can therefore vary in price. Such a product will have features that are attractive to those of you who continue to purchase wholesale energy at floating prices. I would appreciate an opportunity to share some numbers with you in the near future at an appropriate forum. </w:t>
      </w:r>
    </w:p>
    <w:p>
      <w:pPr>
        <w:pStyle w:val="Normal"/>
        <w:autoSpaceDE w:val="false"/>
        <w:rPr>
          <w:szCs w:val="20"/>
        </w:rPr>
      </w:pPr>
      <w:r>
        <w:rPr>
          <w:szCs w:val="20"/>
        </w:rPr>
      </w:r>
    </w:p>
    <w:p>
      <w:pPr>
        <w:pStyle w:val="Normal"/>
        <w:autoSpaceDE w:val="false"/>
        <w:rPr>
          <w:szCs w:val="20"/>
        </w:rPr>
      </w:pPr>
      <w:r>
        <w:rPr>
          <w:szCs w:val="20"/>
        </w:rPr>
        <w:t>We have another initiative of immediate relevance here in Oregon. I am in the process of negotiating with Portland General Electric (PGE), Enron’s wholly-owned utility subsidiary, to purchase a portion of the output of a major wind project here in the Pacific Northwest. PGE will purchase the wholesale energy, and it will be my job to find markets for the RECs included in the purchase. The proceeds from the REC sales will enable PGE to consummate the energy purchase without incurring a financial loss. We are looking at purchasing 16.5 MW of average energy from the project, and are in a position to offer these RECs at affordable rates, a product which may perhaps be of interest to your members. By spreading the purchase obligations over your entire group, individual outlays can be kept at a minimum, and this might provide an initial step in moving towards achieving your renewable power purchase goals.</w:t>
      </w:r>
    </w:p>
    <w:p>
      <w:pPr>
        <w:pStyle w:val="Normal"/>
        <w:autoSpaceDE w:val="false"/>
        <w:rPr>
          <w:szCs w:val="20"/>
        </w:rPr>
      </w:pPr>
      <w:r>
        <w:rPr>
          <w:szCs w:val="20"/>
        </w:rPr>
      </w:r>
    </w:p>
    <w:p>
      <w:pPr>
        <w:pStyle w:val="Normal"/>
        <w:autoSpaceDE w:val="false"/>
        <w:rPr>
          <w:szCs w:val="20"/>
        </w:rPr>
      </w:pPr>
      <w:r>
        <w:rPr>
          <w:szCs w:val="20"/>
        </w:rPr>
        <w:t>I believe there are several ways in which Enron's Renewable Power Desk and the Green Power Market Development Group can work together to develop flexible and competitively priced renewable power transactions. I look forward to speaking with you in the near future.</w:t>
      </w:r>
    </w:p>
    <w:p>
      <w:pPr>
        <w:pStyle w:val="Normal"/>
        <w:autoSpaceDE w:val="false"/>
        <w:rPr>
          <w:szCs w:val="20"/>
        </w:rPr>
      </w:pPr>
      <w:r>
        <w:rPr>
          <w:szCs w:val="20"/>
        </w:rPr>
      </w:r>
    </w:p>
    <w:p>
      <w:pPr>
        <w:pStyle w:val="Normal"/>
        <w:autoSpaceDE w:val="false"/>
        <w:rPr>
          <w:szCs w:val="20"/>
        </w:rPr>
      </w:pPr>
      <w:r>
        <w:rPr>
          <w:szCs w:val="20"/>
        </w:rPr>
        <w:t>Best wishes,</w:t>
      </w:r>
    </w:p>
    <w:p>
      <w:pPr>
        <w:pStyle w:val="Normal"/>
        <w:autoSpaceDE w:val="false"/>
        <w:rPr>
          <w:szCs w:val="20"/>
        </w:rPr>
      </w:pPr>
      <w:r>
        <w:rPr>
          <w:szCs w:val="20"/>
        </w:rPr>
      </w:r>
    </w:p>
    <w:p>
      <w:pPr>
        <w:pStyle w:val="Normal"/>
        <w:autoSpaceDE w:val="false"/>
        <w:rPr>
          <w:szCs w:val="20"/>
        </w:rPr>
      </w:pPr>
      <w:r>
        <w:rPr>
          <w:szCs w:val="20"/>
        </w:rPr>
        <w:t>Elliot Mainzer</w:t>
      </w:r>
    </w:p>
    <w:p>
      <w:pPr>
        <w:pStyle w:val="Normal"/>
        <w:autoSpaceDE w:val="false"/>
        <w:rPr>
          <w:szCs w:val="20"/>
        </w:rPr>
      </w:pPr>
      <w:r>
        <w:rPr>
          <w:szCs w:val="20"/>
        </w:rPr>
        <w:t>Renewable Power Desk</w:t>
      </w:r>
    </w:p>
    <w:p>
      <w:pPr>
        <w:pStyle w:val="Normal"/>
        <w:autoSpaceDE w:val="false"/>
        <w:rPr>
          <w:szCs w:val="20"/>
        </w:rPr>
      </w:pPr>
      <w:r>
        <w:rPr>
          <w:szCs w:val="20"/>
        </w:rPr>
        <w:t>Enron North America</w:t>
      </w:r>
    </w:p>
    <w:p>
      <w:pPr>
        <w:pStyle w:val="Normal"/>
        <w:autoSpaceDE w:val="false"/>
        <w:rPr>
          <w:szCs w:val="20"/>
        </w:rPr>
      </w:pPr>
      <w:r>
        <w:rPr>
          <w:szCs w:val="20"/>
        </w:rPr>
        <w:t>121 SW Salmon Street</w:t>
      </w:r>
    </w:p>
    <w:p>
      <w:pPr>
        <w:pStyle w:val="Normal"/>
        <w:autoSpaceDE w:val="false"/>
        <w:rPr>
          <w:szCs w:val="20"/>
        </w:rPr>
      </w:pPr>
      <w:r>
        <w:rPr>
          <w:szCs w:val="20"/>
        </w:rPr>
        <w:t>3WTC-0306</w:t>
      </w:r>
    </w:p>
    <w:p>
      <w:pPr>
        <w:pStyle w:val="Normal"/>
        <w:autoSpaceDE w:val="false"/>
        <w:rPr>
          <w:szCs w:val="20"/>
        </w:rPr>
      </w:pPr>
      <w:r>
        <w:rPr>
          <w:szCs w:val="20"/>
        </w:rPr>
        <w:t>Portland, OR  97201</w:t>
      </w:r>
    </w:p>
    <w:p>
      <w:pPr>
        <w:pStyle w:val="Normal"/>
        <w:autoSpaceDE w:val="false"/>
        <w:rPr>
          <w:szCs w:val="20"/>
        </w:rPr>
      </w:pPr>
      <w:r>
        <w:rPr>
          <w:szCs w:val="20"/>
        </w:rPr>
        <w:t>(503) 464-3706</w:t>
      </w:r>
    </w:p>
    <w:p>
      <w:pPr>
        <w:pStyle w:val="Normal"/>
        <w:autoSpaceDE w:val="false"/>
        <w:rPr>
          <w:sz w:val="20"/>
          <w:szCs w:val="20"/>
        </w:rPr>
      </w:pPr>
      <w:r>
        <w:rPr>
          <w:szCs w:val="20"/>
        </w:rPr>
        <w:t>elliot.mainzer@enron.com</w:t>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autoSpaceDE w:val="false"/>
        <w:rPr>
          <w:rFonts w:ascii="Courier New" w:hAnsi="Courier New" w:cs="Courier New"/>
          <w:sz w:val="20"/>
          <w:szCs w:val="20"/>
        </w:rPr>
      </w:pPr>
      <w:r>
        <w:rPr>
          <w:rFonts w:cs="Courier New" w:ascii="Courier New" w:hAnsi="Courier New"/>
          <w:sz w:val="20"/>
          <w:szCs w:val="20"/>
        </w:rPr>
      </w:r>
    </w:p>
    <w:p>
      <w:pPr>
        <w:pStyle w:val="Normal"/>
        <w:rPr>
          <w:rFonts w:ascii="Courier New" w:hAnsi="Courier New" w:cs="Courier New"/>
          <w:sz w:val="20"/>
          <w:szCs w:val="20"/>
        </w:rPr>
      </w:pPr>
      <w:r>
        <w:rPr>
          <w:rFonts w:cs="Courier New" w:ascii="Courier New" w:hAnsi="Courier New"/>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2001-08-07T18:20:00Z</dcterms:created>
  <dc:creator>emainze</dc:creator>
  <dc:description/>
  <dc:language>en-CA</dc:language>
  <cp:lastModifiedBy>emainze</cp:lastModifiedBy>
  <dcterms:modified xsi:type="dcterms:W3CDTF">2001-08-08T04:14:00Z</dcterms:modified>
  <cp:revision>4</cp:revision>
  <dc:subject/>
  <dc:title>August 7, 2001</dc:title>
</cp:coreProperties>
</file>