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0"/>
          <w:lang w:val="en-CA" w:eastAsia="en-CA"/>
        </w:rPr>
      </w:pPr>
      <w:r>
        <w:rPr>
          <w:sz w:val="20"/>
          <w:lang w:val="en-CA" w:eastAsia="en-CA"/>
        </w:rPr>
        <w:drawing>
          <wp:anchor behindDoc="0" distT="0" distB="0" distL="114935" distR="114935" simplePos="0" locked="0" layoutInCell="1" allowOverlap="1" relativeHeight="2">
            <wp:simplePos x="0" y="0"/>
            <wp:positionH relativeFrom="column">
              <wp:posOffset>0</wp:posOffset>
            </wp:positionH>
            <wp:positionV relativeFrom="paragraph">
              <wp:posOffset>-342900</wp:posOffset>
            </wp:positionV>
            <wp:extent cx="909955" cy="914400"/>
            <wp:effectExtent l="0" t="0" r="0" b="0"/>
            <wp:wrapNone/>
            <wp:docPr id="1" name="LogoWh"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Wh" descr="" title=""/>
                    <pic:cNvPicPr>
                      <a:picLocks noChangeAspect="1" noChangeArrowheads="1"/>
                    </pic:cNvPicPr>
                  </pic:nvPicPr>
                  <pic:blipFill>
                    <a:blip r:embed="rId2"/>
                    <a:srcRect l="-6" t="-6" r="-6" b="-6"/>
                    <a:stretch>
                      <a:fillRect/>
                    </a:stretch>
                  </pic:blipFill>
                  <pic:spPr bwMode="auto">
                    <a:xfrm>
                      <a:off x="0" y="0"/>
                      <a:ext cx="909955" cy="914400"/>
                    </a:xfrm>
                    <a:prstGeom prst="rect">
                      <a:avLst/>
                    </a:prstGeom>
                    <a:noFill/>
                  </pic:spPr>
                </pic:pic>
              </a:graphicData>
            </a:graphic>
          </wp:anchor>
        </w:drawing>
      </w:r>
    </w:p>
    <w:p>
      <w:pPr>
        <w:pStyle w:val="Normal"/>
        <w:rPr/>
      </w:pPr>
      <w:r>
        <w:rPr/>
      </w:r>
    </w:p>
    <w:p>
      <w:pPr>
        <w:pStyle w:val="Normal"/>
        <w:rPr/>
      </w:pPr>
      <w:r>
        <w:rPr/>
      </w:r>
    </w:p>
    <w:p>
      <w:pPr>
        <w:pStyle w:val="Normal"/>
        <w:rPr/>
      </w:pPr>
      <w:r>
        <w:rPr/>
      </w:r>
    </w:p>
    <w:p>
      <w:pPr>
        <w:pStyle w:val="Normal"/>
        <w:rPr/>
      </w:pPr>
      <w:r>
        <w:rPr/>
      </w:r>
    </w:p>
    <w:p>
      <w:pPr>
        <w:pStyle w:val="Normal"/>
        <w:rPr/>
      </w:pPr>
      <w:r>
        <w:rPr/>
        <w:t>Mark D. Crowdis</w:t>
      </w:r>
    </w:p>
    <w:p>
      <w:pPr>
        <w:pStyle w:val="Normal"/>
        <w:rPr/>
      </w:pPr>
      <w:r>
        <w:rPr/>
        <w:t>Think Energy, Inc.</w:t>
      </w:r>
    </w:p>
    <w:p>
      <w:pPr>
        <w:pStyle w:val="Normal"/>
        <w:rPr/>
      </w:pPr>
      <w:r>
        <w:rPr/>
        <w:t>3125 McComas Ave.</w:t>
        <w:tab/>
      </w:r>
    </w:p>
    <w:p>
      <w:pPr>
        <w:pStyle w:val="Normal"/>
        <w:rPr/>
      </w:pPr>
      <w:r>
        <w:rPr/>
        <w:t>Kensington, MD  20895</w:t>
      </w:r>
    </w:p>
    <w:p>
      <w:pPr>
        <w:pStyle w:val="Normal"/>
        <w:rPr/>
      </w:pPr>
      <w:r>
        <w:rPr/>
      </w:r>
    </w:p>
    <w:p>
      <w:pPr>
        <w:pStyle w:val="Normal"/>
        <w:rPr/>
      </w:pPr>
      <w:r>
        <w:rPr/>
      </w:r>
    </w:p>
    <w:p>
      <w:pPr>
        <w:pStyle w:val="Normal"/>
        <w:rPr/>
      </w:pPr>
      <w:r>
        <w:rPr/>
        <w:t>October 1, 2001</w:t>
        <w:tab/>
      </w:r>
    </w:p>
    <w:p>
      <w:pPr>
        <w:pStyle w:val="Normal"/>
        <w:rPr/>
      </w:pPr>
      <w:r>
        <w:rPr/>
      </w:r>
    </w:p>
    <w:p>
      <w:pPr>
        <w:pStyle w:val="Normal"/>
        <w:rPr/>
      </w:pPr>
      <w:r>
        <w:rPr/>
        <w:t>Dear Mark:</w:t>
      </w:r>
    </w:p>
    <w:p>
      <w:pPr>
        <w:pStyle w:val="Normal"/>
        <w:rPr/>
      </w:pPr>
      <w:r>
        <w:rPr/>
      </w:r>
    </w:p>
    <w:p>
      <w:pPr>
        <w:pStyle w:val="Normal"/>
        <w:rPr/>
      </w:pPr>
      <w:r>
        <w:rPr/>
        <w:t>In response to our recent conference call with the members of the Green Power Market Development Group (GPMDG), I am pleased to submit this follow-up discussion document. I have begun with an overview of the Production Tax Credit to shine further light on our discussion about possible equity investments by members of the Group. I have then provided information about two new wind projects we are involved with, one in Washington State and another in Western Illinois. I have discussed several different options for GPMDG participation in the projects and then summarized overall product information in matrix form, with a brief discussion of the pros and cons of each option. Finally, I have offered a proposal which would meet the twin objectives of consummating a tangible transaction and supporting new wind resource development.</w:t>
      </w:r>
    </w:p>
    <w:p>
      <w:pPr>
        <w:pStyle w:val="Normal"/>
        <w:rPr/>
      </w:pPr>
      <w:r>
        <w:rPr/>
      </w:r>
    </w:p>
    <w:p>
      <w:pPr>
        <w:pStyle w:val="Normal"/>
        <w:rPr/>
      </w:pPr>
      <w:r>
        <w:rPr/>
        <w:t>I hope the information is helpful in pushing our dialogue to the next level. I believe the next step would be a face-to-face meeting. Please let me know of a suitable time and location. I look forward to speaking with you soon.</w:t>
      </w:r>
    </w:p>
    <w:p>
      <w:pPr>
        <w:pStyle w:val="Normal"/>
        <w:rPr/>
      </w:pPr>
      <w:r>
        <w:rPr/>
      </w:r>
    </w:p>
    <w:p>
      <w:pPr>
        <w:pStyle w:val="Heading1"/>
        <w:ind w:hanging="0" w:start="0"/>
        <w:rPr/>
      </w:pPr>
      <w:r>
        <w:rPr/>
      </w:r>
    </w:p>
    <w:p>
      <w:pPr>
        <w:pStyle w:val="Heading1"/>
        <w:ind w:hanging="0" w:start="0"/>
        <w:rPr/>
      </w:pPr>
      <w:r>
        <w:rPr/>
        <w:t xml:space="preserve">I. Production Tax Credit </w:t>
      </w:r>
    </w:p>
    <w:p>
      <w:pPr>
        <w:pStyle w:val="Normal"/>
        <w:rPr/>
      </w:pPr>
      <w:r>
        <w:rPr/>
        <w:t>The following is a summary of the key components of the Production Tax Credit extracted from a briefing document prepared by the American Wind Energy Association. The overview is followed by a brief discussion of the issues raised by the GPMDG in our previous conference call.</w:t>
      </w:r>
    </w:p>
    <w:p>
      <w:pPr>
        <w:pStyle w:val="Normal"/>
        <w:rPr/>
      </w:pPr>
      <w:r>
        <w:rPr/>
      </w:r>
    </w:p>
    <w:p>
      <w:pPr>
        <w:pStyle w:val="Normal"/>
        <w:numPr>
          <w:ilvl w:val="0"/>
          <w:numId w:val="4"/>
        </w:numPr>
        <w:rPr/>
      </w:pPr>
      <w:r>
        <w:rPr/>
        <w:t>Established as component of Energy Policy Act of 1992.</w:t>
      </w:r>
    </w:p>
    <w:p>
      <w:pPr>
        <w:pStyle w:val="Normal"/>
        <w:numPr>
          <w:ilvl w:val="0"/>
          <w:numId w:val="4"/>
        </w:numPr>
        <w:rPr/>
      </w:pPr>
      <w:r>
        <w:rPr/>
        <w:t>Set at $.015/kWh for a period of ten years from project commercial operation date.</w:t>
      </w:r>
    </w:p>
    <w:p>
      <w:pPr>
        <w:pStyle w:val="Normal"/>
        <w:numPr>
          <w:ilvl w:val="0"/>
          <w:numId w:val="4"/>
        </w:numPr>
        <w:rPr/>
      </w:pPr>
      <w:r>
        <w:rPr/>
        <w:t>Key component – energy must be sold by the taxpayer to an unrelated party during the taxable year.</w:t>
      </w:r>
    </w:p>
    <w:p>
      <w:pPr>
        <w:pStyle w:val="Normal"/>
        <w:numPr>
          <w:ilvl w:val="0"/>
          <w:numId w:val="4"/>
        </w:numPr>
        <w:rPr/>
      </w:pPr>
      <w:r>
        <w:rPr/>
        <w:t>PTC reduced to the extent that overall project costs are covered by grants or subsidies.</w:t>
      </w:r>
    </w:p>
    <w:p>
      <w:pPr>
        <w:pStyle w:val="Normal"/>
        <w:numPr>
          <w:ilvl w:val="0"/>
          <w:numId w:val="4"/>
        </w:numPr>
        <w:rPr/>
      </w:pPr>
      <w:r>
        <w:rPr/>
        <w:t xml:space="preserve">Current PTC expires on December 31, 2001. </w:t>
      </w:r>
    </w:p>
    <w:p>
      <w:pPr>
        <w:pStyle w:val="Normal"/>
        <w:numPr>
          <w:ilvl w:val="0"/>
          <w:numId w:val="4"/>
        </w:numPr>
        <w:rPr/>
      </w:pPr>
      <w:r>
        <w:rPr/>
        <w:t>Projects in place before December 31, 1993 cannot qualify for the PTC.</w:t>
      </w:r>
    </w:p>
    <w:p>
      <w:pPr>
        <w:pStyle w:val="Normal"/>
        <w:numPr>
          <w:ilvl w:val="0"/>
          <w:numId w:val="4"/>
        </w:numPr>
        <w:rPr/>
      </w:pPr>
      <w:r>
        <w:rPr/>
        <w:t>Projects must be located in the United States.</w:t>
      </w:r>
    </w:p>
    <w:p>
      <w:pPr>
        <w:pStyle w:val="Normal"/>
        <w:numPr>
          <w:ilvl w:val="0"/>
          <w:numId w:val="4"/>
        </w:numPr>
        <w:rPr/>
      </w:pPr>
      <w:r>
        <w:rPr/>
        <w:t>PTC increased each year according to the GDP Implicit Price Deflator. Escalation based on calendar year 1992.</w:t>
      </w:r>
    </w:p>
    <w:p>
      <w:pPr>
        <w:pStyle w:val="Normal"/>
        <w:numPr>
          <w:ilvl w:val="0"/>
          <w:numId w:val="4"/>
        </w:numPr>
        <w:rPr/>
      </w:pPr>
      <w:r>
        <w:rPr/>
        <w:t>In the case of a facility in which more than one person has an ownership interest, production from the facility shall be allocated among such persons in proportion to their respective ownership interests in the gross sales from the facility.</w:t>
      </w:r>
    </w:p>
    <w:p>
      <w:pPr>
        <w:pStyle w:val="Normal"/>
        <w:numPr>
          <w:ilvl w:val="0"/>
          <w:numId w:val="4"/>
        </w:numPr>
        <w:rPr/>
      </w:pPr>
      <w:r>
        <w:rPr/>
        <w:t>Related Parties – Parties shall be treated as related to each other if such parties would be treated as a single employer. In the case of a corporation which is a member of an affiliated group of corporations filing a consolidated return, such corporation shall be treated as selling electricity to an unrelated party if such electricity is sold to such party by another member of such group.</w:t>
      </w:r>
    </w:p>
    <w:p>
      <w:pPr>
        <w:pStyle w:val="Normal"/>
        <w:numPr>
          <w:ilvl w:val="0"/>
          <w:numId w:val="4"/>
        </w:numPr>
        <w:rPr/>
      </w:pPr>
      <w:r>
        <w:rPr/>
        <w:t>No carrybacks of the credit before January 1, 1994.</w:t>
      </w:r>
    </w:p>
    <w:p>
      <w:pPr>
        <w:pStyle w:val="Normal"/>
        <w:numPr>
          <w:ilvl w:val="0"/>
          <w:numId w:val="4"/>
        </w:numPr>
        <w:rPr/>
      </w:pPr>
      <w:r>
        <w:rPr/>
        <w:t>Congress included the PTC within the business credits of the Internal Revenue Code. Under section 38 of the Internal Revenue Code, a limit is imposed on the amount of business credits a taxpayer can claim in a year. That limit is the lesser of (1) net income tax over the tentative minimum tax, or (2) net income tax minus 25% of net regular tax over $25,000.</w:t>
      </w:r>
    </w:p>
    <w:p>
      <w:pPr>
        <w:pStyle w:val="Normal"/>
        <w:numPr>
          <w:ilvl w:val="0"/>
          <w:numId w:val="4"/>
        </w:numPr>
        <w:rPr/>
      </w:pPr>
      <w:r>
        <w:rPr/>
        <w:t>If the taxpayer is subject to the alternative minimum tax, the PTC cannot be used in that tax year. However, the credit may be carried forward to the next year or backward to the previous year. The credit is subject to the carryforward, carryback and limitation rules of the general business credit. Any unused general business credit generally may be carried back to the three previous taxable years and carried forward to the subsequent 15 taxable years.</w:t>
      </w:r>
    </w:p>
    <w:p>
      <w:pPr>
        <w:pStyle w:val="Normal"/>
        <w:numPr>
          <w:ilvl w:val="0"/>
          <w:numId w:val="4"/>
        </w:numPr>
        <w:rPr/>
      </w:pPr>
      <w:r>
        <w:rPr/>
        <w:t>The passive loss and credit limitations apply to the operation of a wind project. Credits from a passive activity can only be used to offset tax liability from passive activities. This prevents a taxpayer from using passive activity credits to reduce taxes on non-passive income such as salaries, dividends or interest income. These passive activities limitations cover individuals, estates, trusts, closely-held corporations and personal service corporations. A passive activity is defined to be the conduct of any trade or business in which the taxpayer does not materially participate. Material participation in the conduct of an activity occurs only if the person is regularly, continuously and substantially involved in the operations.</w:t>
      </w:r>
    </w:p>
    <w:p>
      <w:pPr>
        <w:pStyle w:val="Normal"/>
        <w:numPr>
          <w:ilvl w:val="0"/>
          <w:numId w:val="4"/>
        </w:numPr>
        <w:rPr/>
      </w:pPr>
      <w:r>
        <w:rPr/>
        <w:t>You cannot build and own a wind facility, use the energy for your own needs and simultaneously claim the PTC.</w:t>
      </w:r>
    </w:p>
    <w:p>
      <w:pPr>
        <w:pStyle w:val="Normal"/>
        <w:numPr>
          <w:ilvl w:val="0"/>
          <w:numId w:val="4"/>
        </w:numPr>
        <w:rPr/>
      </w:pPr>
      <w:r>
        <w:rPr/>
        <w:t xml:space="preserve">The taxpayer can contract with another entity to operate the wind project. </w:t>
      </w:r>
    </w:p>
    <w:p>
      <w:pPr>
        <w:pStyle w:val="Normal"/>
        <w:rPr/>
      </w:pPr>
      <w:r>
        <w:rPr/>
      </w:r>
    </w:p>
    <w:p>
      <w:pPr>
        <w:pStyle w:val="Normal"/>
        <w:rPr/>
      </w:pPr>
      <w:r>
        <w:rPr/>
        <w:t xml:space="preserve">For the purposes of the GPMDG, there are several important points regarding a potential equity investment in a wind project. First of all, investing as a passive investor will be difficult to accomplish. If a GPMDG member were to own 100% of the equity, they would, by definition, be the controlling investor, even if they were to subcontract the operations and maintenance to a third party. If a member were to invest on a 50/50 basis with another equity investor, it is possible that the other equity investor, in an effort to keep the investment off their balance sheet, would need for the GPMDG partner to assume certain active responsibilities. This, of course, may not be a concern for the GPMDG members, but it is important to note. </w:t>
      </w:r>
    </w:p>
    <w:p>
      <w:pPr>
        <w:pStyle w:val="Heading1"/>
        <w:ind w:hanging="0" w:start="0"/>
        <w:rPr>
          <w:b w:val="false"/>
          <w:bCs w:val="false"/>
        </w:rPr>
      </w:pPr>
      <w:r>
        <w:rPr>
          <w:b w:val="false"/>
          <w:bCs w:val="false"/>
        </w:rPr>
      </w:r>
    </w:p>
    <w:p>
      <w:pPr>
        <w:pStyle w:val="Heading1"/>
        <w:ind w:hanging="0" w:start="0"/>
        <w:rPr/>
      </w:pPr>
      <w:r>
        <w:rPr>
          <w:b w:val="false"/>
          <w:bCs w:val="false"/>
        </w:rPr>
        <w:t xml:space="preserve">The second important point is that unlike RECs, it is not possible to re-market PTCs. There have been discussions about this for several years, and it is theoretically possible that some sort of re-assignment provision may be adopted in the next round of rule-making, but at this point, it is not possible. In summary, in order to make an equity investment in a wind project, a prospective investor must make </w:t>
      </w:r>
      <w:r>
        <w:rPr>
          <w:b w:val="false"/>
          <w:bCs w:val="false"/>
          <w:i/>
          <w:iCs/>
        </w:rPr>
        <w:t>pro forma</w:t>
      </w:r>
      <w:r>
        <w:rPr>
          <w:b w:val="false"/>
          <w:bCs w:val="false"/>
        </w:rPr>
        <w:t xml:space="preserve"> projections of tax appetite for several (preferably 10) years, accept an active, rather than passive investment, and be prepared to utilize the PTCs according to Federal rules regarding carrybacks and carryforwards. Finally, because of the related party provisions, it is notable that you cannot build and own a wind facility, use the energy for your own needs and also utilize the PTCs. However, since there are currently no provisions in the tax code governing RECs, I assume that this provision would not govern the sale/ownership of RECs. I am conducting further research on this topic. If you have additional questions, or would like to explore specific opportunities, please contact me.</w:t>
      </w:r>
    </w:p>
    <w:p>
      <w:pPr>
        <w:pStyle w:val="Normal"/>
        <w:rPr>
          <w:b/>
          <w:bCs/>
        </w:rPr>
      </w:pPr>
      <w:r>
        <w:rPr>
          <w:b/>
          <w:bCs/>
        </w:rPr>
      </w:r>
    </w:p>
    <w:p>
      <w:pPr>
        <w:pStyle w:val="Heading1"/>
        <w:ind w:hanging="0" w:start="0"/>
        <w:rPr>
          <w:b w:val="false"/>
          <w:bCs w:val="false"/>
        </w:rPr>
      </w:pPr>
      <w:r>
        <w:rPr>
          <w:b w:val="false"/>
          <w:bCs w:val="false"/>
        </w:rPr>
      </w:r>
    </w:p>
    <w:p>
      <w:pPr>
        <w:pStyle w:val="Heading1"/>
        <w:ind w:hanging="0" w:start="0"/>
        <w:rPr/>
      </w:pPr>
      <w:r>
        <w:rPr/>
        <w:t>II. Wind Project Opportunities</w:t>
      </w:r>
    </w:p>
    <w:p>
      <w:pPr>
        <w:pStyle w:val="Normal"/>
        <w:rPr/>
      </w:pPr>
      <w:r>
        <w:rPr/>
        <w:t xml:space="preserve">For clarification purposes, I feel compelled to note that the Renewable Power Desk at Enron North America (ENA) is a separate entity from Enron Wind Corp. While we have collaborated with EWC in a number of different settings, we are focused on the broader renewable power market, including wind, biomass, solar and other resources. In addition, the Renewable Power Desk is integrated into both the wholesale and retail parts of Enron’s overall business, enhancing our market reach and product offerings. While we do not explicitly compete with Enron Wind, ENA is also involved in the wind development sector and we have business relationships with a range of developers in addition to Enron Wind. </w:t>
      </w:r>
    </w:p>
    <w:p>
      <w:pPr>
        <w:pStyle w:val="Normal"/>
        <w:rPr/>
      </w:pPr>
      <w:r>
        <w:rPr/>
      </w:r>
    </w:p>
    <w:p>
      <w:pPr>
        <w:pStyle w:val="Normal"/>
        <w:rPr/>
      </w:pPr>
      <w:r>
        <w:rPr/>
        <w:t xml:space="preserve">At present, our most advanced wind energy project is the Mid-C Wind Project in Ellensberg, Washington. After witnessing heightened interest in the wind sector in the Pacific Northwest, we decided that the market was ripe for another major project targeted to the large public power utilities in the region, especially the Eugene Water and Electric Board (EWEB). In cooperation with enXco, Inc., we obtained a purchase option on a substantial piece of property in Ellensberg and have been marketing the project to EWEB and others in the region. Initial feedback has been very positive, and we are in the process of negotiating a PPA with EWEB. Our hope is to develop up to 300 MW of capacity at the site in one large project, or as several smaller projects targeted to different counterparties. </w:t>
      </w:r>
    </w:p>
    <w:p>
      <w:pPr>
        <w:pStyle w:val="Normal"/>
        <w:rPr/>
      </w:pPr>
      <w:r>
        <w:rPr/>
      </w:r>
    </w:p>
    <w:p>
      <w:pPr>
        <w:pStyle w:val="Normal"/>
        <w:rPr/>
      </w:pPr>
      <w:r>
        <w:rPr/>
        <w:t xml:space="preserve">Economies of scale are particularly important in wind development. Larger projects which can take advantages of economies in equipment purchases, especially turbines and substations, typically can support much lower power prices than smaller projects. We would be very interested in having the Green Power Market Development Group participate in the broader project, either as a purchaser of energy and environmental attributes, or as an equity participant, if appropriate and workable under IRS rules. Optimally, we can parcel off a specific project which the Green Power Market Development Group (or subset) can point to as their own project under a name of their choosing. </w:t>
      </w:r>
    </w:p>
    <w:p>
      <w:pPr>
        <w:pStyle w:val="Normal"/>
        <w:rPr/>
      </w:pPr>
      <w:r>
        <w:rPr/>
      </w:r>
    </w:p>
    <w:p>
      <w:pPr>
        <w:pStyle w:val="Normal"/>
        <w:rPr/>
      </w:pPr>
      <w:r>
        <w:rPr/>
        <w:t>Recently, ThinkEnergy provided me with several questions about our two most attractive wind projects with completion dates in the 12-24 month timeframe. Below are the questions and responses concerning our property in Ellensberg.</w:t>
      </w:r>
    </w:p>
    <w:p>
      <w:pPr>
        <w:pStyle w:val="Normal"/>
        <w:rPr/>
      </w:pPr>
      <w:r>
        <w:rPr/>
      </w:r>
    </w:p>
    <w:p>
      <w:pPr>
        <w:pStyle w:val="Normal"/>
        <w:numPr>
          <w:ilvl w:val="0"/>
          <w:numId w:val="2"/>
        </w:numPr>
        <w:autoSpaceDE w:val="false"/>
        <w:rPr>
          <w:i/>
          <w:i/>
          <w:iCs/>
        </w:rPr>
      </w:pPr>
      <w:r>
        <w:rPr>
          <w:i/>
          <w:iCs/>
        </w:rPr>
        <w:t>What is the location of the proposed wind project (State, City or County, longitude, latitude, zip code)?</w:t>
      </w:r>
    </w:p>
    <w:p>
      <w:pPr>
        <w:pStyle w:val="Normal"/>
        <w:tabs>
          <w:tab w:val="left" w:pos="720" w:leader="none"/>
        </w:tabs>
        <w:autoSpaceDE w:val="false"/>
        <w:ind w:start="720" w:end="0"/>
        <w:rPr/>
      </w:pPr>
      <w:r>
        <w:rPr/>
        <w:t>The Mid-C Wind Project is located ten miles east of Ellensberg, Washington which is located about halfway between Seattle and Spokane in Kittitas County.</w:t>
      </w:r>
    </w:p>
    <w:p>
      <w:pPr>
        <w:pStyle w:val="Normal"/>
        <w:autoSpaceDE w:val="false"/>
        <w:ind w:start="360" w:end="0"/>
        <w:rPr/>
      </w:pPr>
      <w:r>
        <w:rPr/>
      </w:r>
    </w:p>
    <w:p>
      <w:pPr>
        <w:pStyle w:val="Normal"/>
        <w:numPr>
          <w:ilvl w:val="0"/>
          <w:numId w:val="2"/>
        </w:numPr>
        <w:autoSpaceDE w:val="false"/>
        <w:rPr>
          <w:i/>
          <w:i/>
          <w:iCs/>
        </w:rPr>
      </w:pPr>
      <w:r>
        <w:rPr>
          <w:i/>
          <w:iCs/>
        </w:rPr>
        <w:t>Have you acquired land rites?</w:t>
      </w:r>
    </w:p>
    <w:p>
      <w:pPr>
        <w:pStyle w:val="Normal"/>
        <w:autoSpaceDE w:val="false"/>
        <w:ind w:start="720" w:end="0"/>
        <w:rPr/>
      </w:pPr>
      <w:r>
        <w:rPr/>
        <w:t xml:space="preserve">We have secured an option to purchase the 26,000-acre property with all relevant easements. The present value of the purchase price is roughly equivalent to the present value of 20-years of lease payments at prevailing market rates. </w:t>
      </w:r>
    </w:p>
    <w:p>
      <w:pPr>
        <w:pStyle w:val="Normal"/>
        <w:autoSpaceDE w:val="false"/>
        <w:rPr/>
      </w:pPr>
      <w:r>
        <w:rPr/>
      </w:r>
    </w:p>
    <w:p>
      <w:pPr>
        <w:pStyle w:val="Normal"/>
        <w:numPr>
          <w:ilvl w:val="0"/>
          <w:numId w:val="2"/>
        </w:numPr>
        <w:autoSpaceDE w:val="false"/>
        <w:rPr>
          <w:i/>
          <w:i/>
          <w:iCs/>
        </w:rPr>
      </w:pPr>
      <w:r>
        <w:rPr>
          <w:i/>
          <w:iCs/>
        </w:rPr>
        <w:t>How long have you acquired wind data?</w:t>
      </w:r>
    </w:p>
    <w:p>
      <w:pPr>
        <w:pStyle w:val="Normal"/>
        <w:autoSpaceDE w:val="false"/>
        <w:ind w:start="720" w:end="0"/>
        <w:rPr/>
      </w:pPr>
      <w:r>
        <w:rPr/>
        <w:t xml:space="preserve">The site was formerly controlled by Kenetech and has several years worth of wind data. enXco installed new meteorological towers in April to verify the older data. </w:t>
      </w:r>
    </w:p>
    <w:p>
      <w:pPr>
        <w:pStyle w:val="Normal"/>
        <w:autoSpaceDE w:val="false"/>
        <w:ind w:firstLine="720" w:end="0"/>
        <w:rPr/>
      </w:pPr>
      <w:r>
        <w:rPr/>
      </w:r>
    </w:p>
    <w:p>
      <w:pPr>
        <w:pStyle w:val="Normal"/>
        <w:numPr>
          <w:ilvl w:val="0"/>
          <w:numId w:val="2"/>
        </w:numPr>
        <w:autoSpaceDE w:val="false"/>
        <w:rPr>
          <w:i/>
          <w:i/>
          <w:iCs/>
        </w:rPr>
      </w:pPr>
      <w:r>
        <w:rPr>
          <w:i/>
          <w:iCs/>
        </w:rPr>
        <w:t>How far is the closest interconnection?</w:t>
      </w:r>
    </w:p>
    <w:p>
      <w:pPr>
        <w:pStyle w:val="Normal"/>
        <w:autoSpaceDE w:val="false"/>
        <w:ind w:start="720" w:end="0"/>
        <w:rPr/>
      </w:pPr>
      <w:r>
        <w:rPr/>
        <w:t xml:space="preserve">A 230 kv BPA transmission line passes right through the property. We are currently working with BPA to obtain a transmission path and interconnect. The site has an attractive location right in the hub of the Mid-Columbia trading point. It is west of the major East-West transmission constraint and can sell directly into the systems of the major load-serving entities in the region. </w:t>
      </w:r>
    </w:p>
    <w:p>
      <w:pPr>
        <w:pStyle w:val="Normal"/>
        <w:autoSpaceDE w:val="false"/>
        <w:rPr/>
      </w:pPr>
      <w:r>
        <w:rPr/>
      </w:r>
    </w:p>
    <w:p>
      <w:pPr>
        <w:pStyle w:val="Normal"/>
        <w:numPr>
          <w:ilvl w:val="0"/>
          <w:numId w:val="2"/>
        </w:numPr>
        <w:autoSpaceDE w:val="false"/>
        <w:rPr>
          <w:i/>
          <w:i/>
          <w:iCs/>
        </w:rPr>
      </w:pPr>
      <w:r>
        <w:rPr>
          <w:i/>
          <w:iCs/>
        </w:rPr>
        <w:t>How many turbines do you plan on building?</w:t>
      </w:r>
    </w:p>
    <w:p>
      <w:pPr>
        <w:pStyle w:val="Normal"/>
        <w:autoSpaceDE w:val="false"/>
        <w:ind w:start="720" w:end="0"/>
        <w:rPr/>
      </w:pPr>
      <w:r>
        <w:rPr/>
        <w:t>If we carved out a 100 MW project for the Green Power Market Development Group, using Enron Wind 1.5MW turbines, there would be a total of 67 turbines.</w:t>
      </w:r>
    </w:p>
    <w:p>
      <w:pPr>
        <w:pStyle w:val="Normal"/>
        <w:autoSpaceDE w:val="false"/>
        <w:rPr/>
      </w:pPr>
      <w:r>
        <w:rPr/>
      </w:r>
    </w:p>
    <w:p>
      <w:pPr>
        <w:pStyle w:val="Normal"/>
        <w:numPr>
          <w:ilvl w:val="0"/>
          <w:numId w:val="2"/>
        </w:numPr>
        <w:autoSpaceDE w:val="false"/>
        <w:rPr>
          <w:i/>
          <w:i/>
          <w:iCs/>
        </w:rPr>
      </w:pPr>
      <w:r>
        <w:rPr>
          <w:i/>
          <w:iCs/>
        </w:rPr>
        <w:t>What is the total nameplate capacity (MW) of the project?</w:t>
      </w:r>
    </w:p>
    <w:p>
      <w:pPr>
        <w:pStyle w:val="Normal"/>
        <w:autoSpaceDE w:val="false"/>
        <w:ind w:start="720" w:end="0"/>
        <w:rPr/>
      </w:pPr>
      <w:r>
        <w:rPr/>
        <w:t>We have obtained enough land for up to 300 MW of installed capacity.</w:t>
      </w:r>
    </w:p>
    <w:p>
      <w:pPr>
        <w:pStyle w:val="Normal"/>
        <w:autoSpaceDE w:val="false"/>
        <w:rPr/>
      </w:pPr>
      <w:r>
        <w:rPr/>
      </w:r>
    </w:p>
    <w:p>
      <w:pPr>
        <w:pStyle w:val="Normal"/>
        <w:numPr>
          <w:ilvl w:val="0"/>
          <w:numId w:val="3"/>
        </w:numPr>
        <w:autoSpaceDE w:val="false"/>
        <w:rPr>
          <w:i/>
          <w:i/>
          <w:iCs/>
        </w:rPr>
      </w:pPr>
      <w:r>
        <w:rPr>
          <w:i/>
          <w:iCs/>
        </w:rPr>
        <w:t>What is the capacity factor?</w:t>
      </w:r>
    </w:p>
    <w:p>
      <w:pPr>
        <w:pStyle w:val="Normal"/>
        <w:autoSpaceDE w:val="false"/>
        <w:ind w:start="720" w:end="0"/>
        <w:rPr/>
      </w:pPr>
      <w:r>
        <w:rPr/>
        <w:t>The average capacity factor for the site is expected to be approximately 30%, typical of many sites in the Pacific Northwest.</w:t>
      </w:r>
    </w:p>
    <w:p>
      <w:pPr>
        <w:pStyle w:val="Normal"/>
        <w:autoSpaceDE w:val="false"/>
        <w:rPr/>
      </w:pPr>
      <w:r>
        <w:rPr/>
      </w:r>
    </w:p>
    <w:p>
      <w:pPr>
        <w:pStyle w:val="Normal"/>
        <w:autoSpaceDE w:val="false"/>
        <w:rPr>
          <w:b/>
          <w:bCs/>
        </w:rPr>
      </w:pPr>
      <w:r>
        <w:rPr>
          <w:b/>
          <w:bCs/>
        </w:rPr>
      </w:r>
    </w:p>
    <w:p>
      <w:pPr>
        <w:pStyle w:val="Heading1"/>
        <w:autoSpaceDE w:val="false"/>
        <w:ind w:hanging="0" w:start="0"/>
        <w:rPr/>
      </w:pPr>
      <w:r>
        <w:rPr/>
        <w:t>Logistics of GPMDG Participation</w:t>
      </w:r>
    </w:p>
    <w:p>
      <w:pPr>
        <w:pStyle w:val="Normal"/>
        <w:autoSpaceDE w:val="false"/>
        <w:rPr/>
      </w:pPr>
      <w:r>
        <w:rPr/>
        <w:t xml:space="preserve">As a person with experience in the wholesale power sector, I am becoming increasingly convinced that the model for future marketing of renewable energy to commercial and industrial customers will be as follows: Wind developers will identify wind sites in regions of the country where there are good wind resources and utilities with flexible power systems looking for additional energy. The projects will be developed primarily with private sector capital to take advantage of the production tax credit. The commodity energy will be sold to utilities at prevailing wholesale prices reflecting the shape of the resource and the intermittent nature of the power. Power marketers such as Enron will then bundle the RECs from the projects with blocks of firm commodity electricity and market it as “fixed-price renewable energy.” Theoretically, the RECs can be sold in any region of the country bundled with local electrical supply, but certain customers may prefer a local renewable solution. The limiting factor will always be the quality of the local resource. </w:t>
      </w:r>
    </w:p>
    <w:p>
      <w:pPr>
        <w:pStyle w:val="Normal"/>
        <w:autoSpaceDE w:val="false"/>
        <w:rPr/>
      </w:pPr>
      <w:r>
        <w:rPr/>
      </w:r>
    </w:p>
    <w:p>
      <w:pPr>
        <w:pStyle w:val="Normal"/>
        <w:autoSpaceDE w:val="false"/>
        <w:rPr/>
      </w:pPr>
      <w:r>
        <w:rPr/>
        <w:t>This arrangement allows utilities with native load to directly serve their customers with the electricity from the projects, using it in real-time and balancing it with their generating units, especially hydroelectric plants. Power marketers can then avoid the expensive banking and ancillary services charges associated with “firming” intermittent power and can instead purchase blocks of firm energy at prevailing wholesale prices bundled with RECs. Of course, certain larger commercial and industrial customers may be able to take wind power directly into their systems, but this will be the exception rather than the rule.</w:t>
      </w:r>
    </w:p>
    <w:p>
      <w:pPr>
        <w:pStyle w:val="Normal"/>
        <w:autoSpaceDE w:val="false"/>
        <w:rPr/>
      </w:pPr>
      <w:r>
        <w:rPr/>
      </w:r>
    </w:p>
    <w:p>
      <w:pPr>
        <w:pStyle w:val="Normal"/>
        <w:autoSpaceDE w:val="false"/>
        <w:rPr/>
      </w:pPr>
      <w:r>
        <w:rPr/>
        <w:t>It is my understanding that the Green Power Market Development Group wishes to catalyze the development of new renewable resources. Most of the members are unable to take intermittent power directly into their systems. Most recognize that renewable energy is still priced at a premium to typical system power, yet they recognize the business value of fixed-price electricity. Given these requirements, I believe choosing one of the following options makes the most sense.</w:t>
      </w:r>
    </w:p>
    <w:p>
      <w:pPr>
        <w:pStyle w:val="Normal"/>
        <w:autoSpaceDE w:val="false"/>
        <w:rPr/>
      </w:pPr>
      <w:r>
        <w:rPr/>
      </w:r>
    </w:p>
    <w:p>
      <w:pPr>
        <w:pStyle w:val="Heading1"/>
        <w:autoSpaceDE w:val="false"/>
        <w:ind w:hanging="0" w:start="0"/>
        <w:rPr/>
      </w:pPr>
      <w:r>
        <w:rPr/>
        <w:t>Renewable Power Swap Opportunities</w:t>
      </w:r>
    </w:p>
    <w:p>
      <w:pPr>
        <w:pStyle w:val="Normal"/>
        <w:autoSpaceDE w:val="false"/>
        <w:rPr/>
      </w:pPr>
      <w:r>
        <w:rPr/>
        <w:t>During our last conference call, we discussed the idea of the Renewable Power Swap. In this scenario, the members of the GPMDG would provide a fixed-price guarantee (or “swap”) against a specific electricity index or against a long-term wholesale power contract signed by a utility buyer. For example, in the case of the Mid-Columbia Wind Project, Enron might sell 100 MW of wholesale power from the project to a major Northwest utility for $32.00/MWh. A pro-forma analysis of the project indicates that the project will require approximately $40.00/Mwh with 1.5% annual escalation to support an equity return of 13%. The members of the GPMDG could guarantee the project its $40.00/MWh revenue by purchasing all of the environmental attributes from the project for $8.00/MWh with 1.5% escalation for 15 years. As owners of the RECs from the project, the GPMDG could then a) resell the RECs in wholesale or retail markets throughout the country, b) bundle them with firm physical power purchases for their facilities (thus purchasing Green-e certified renewable energy), or c) simply retire them and claim publicly that they had directly supported the development of 100MW of new wind power capacity in the Pacific Northwest. This model could be replicated in other parts of the country. It could also work in the event that a new wind plant was developed to sell energy at index, or floating prices. In this case, whenever power prices rose above $40.00/MWh, the GPMDG would receive the upside in return for guaranteeing the project fixed prices against a volatile index. This would be a remarkable and unprecedented transaction if executed form stage one.</w:t>
      </w:r>
    </w:p>
    <w:p>
      <w:pPr>
        <w:pStyle w:val="Normal"/>
        <w:autoSpaceDE w:val="false"/>
        <w:rPr/>
      </w:pPr>
      <w:r>
        <w:rPr/>
        <w:t>Ultimately, RECs provide this type of price certainty for projects across the country, but there has never been a large-scale project developed with the collaboration of a large utility as the wholesale buyer and a group of commercial and industrial customers as the buyers for the environmental attributes. This type of structure would allow us to increase the size of the Mid-C Project (or group of projects), take advantage of economies of scale, and establish a model for economically efficient public/private sector collaboration that could be replicated across the country. To that point, and recognizing that the GPMDG is interested in opportunities in other markets, especially Ohio, I have spoken with enXco and several other developers (some of whom have spoken previously with the GPMDG) to identify several other projects with 2002-2003 on-line dates which may be structured in the abovementioned fashion. In each case, Enron’s Renewable Power Desk would be interested in providing grid integration and power marketing services for the projects, including the procurement of firm energy through Enron Energy Services to meet the electricity needs of the members’ production facilities.</w:t>
      </w:r>
    </w:p>
    <w:p>
      <w:pPr>
        <w:pStyle w:val="Normal"/>
        <w:autoSpaceDE w:val="false"/>
        <w:rPr/>
      </w:pPr>
      <w:r>
        <w:rPr/>
      </w:r>
    </w:p>
    <w:p>
      <w:pPr>
        <w:pStyle w:val="Normal"/>
        <w:autoSpaceDE w:val="false"/>
        <w:rPr/>
      </w:pPr>
      <w:r>
        <w:rPr/>
        <w:t xml:space="preserve">At this point, I have not identified any advanced-stage wind projects in Ohio. However, in the broad Mid-West region, Illinois is primed for substantial development. Our development partner in the Pacific Northwest, enXco, is actively developing several new projects in Illinois for connection into the ComEd system. The most advanced project is located West of Chicago with a nameplate capacity of 100 MW (66 1.5 MW turbines). enXo has over 2 years of wind data on the site. The closest point of interconnection is less than 10 miles away. The estimated capacity factor of the resource is 27%. enXco has also identified several other properties in the Western Illinois region which could support an additional 200 MW. </w:t>
      </w:r>
    </w:p>
    <w:p>
      <w:pPr>
        <w:pStyle w:val="Normal"/>
        <w:autoSpaceDE w:val="false"/>
        <w:rPr/>
      </w:pPr>
      <w:r>
        <w:rPr/>
      </w:r>
    </w:p>
    <w:p>
      <w:pPr>
        <w:pStyle w:val="Normal"/>
        <w:autoSpaceDE w:val="false"/>
        <w:rPr/>
      </w:pPr>
      <w:r>
        <w:rPr/>
        <w:t xml:space="preserve">We have been discussing these sites with enXco recently because Enron Energy Services recently became the provider of electricity to the City of Chicago. Mayor Daly has mandated that the City purchase 20% of its electricity from renewables and we have begun to line up the next stage of projects to meet this need. Returning to the economies of scale argument, GPMDG participation in a Midwest project would help reduce ultimate power prices and improve air quality on a meaningful scale. At present, Enron Energy Services is ramping up its activities in the Ohio market. In anticipation that we will soon begin selling retail electricity in Ohio, we could bundle the RECs with physical commodity to provide fixed-price renewable energy to GPMDG facilities on a long-term basis. Ultimately, the GPMDG could write swaps against wholesale sales from these projects and either retire, or aftermarket the RECs. The notional prices that I provided in my previous proposal reflect the kind of pricing I believe could be obtained from REC sales, i.e. the $9.00 to $12.00/MWh range. </w:t>
      </w:r>
    </w:p>
    <w:p>
      <w:pPr>
        <w:pStyle w:val="Normal"/>
        <w:autoSpaceDE w:val="false"/>
        <w:rPr/>
      </w:pPr>
      <w:r>
        <w:rPr/>
      </w:r>
    </w:p>
    <w:p>
      <w:pPr>
        <w:pStyle w:val="Normal"/>
        <w:autoSpaceDE w:val="false"/>
        <w:rPr/>
      </w:pPr>
      <w:r>
        <w:rPr/>
        <w:t>We also have relationships with other developers active in the Mid-West if you would like to consider other alternatives.</w:t>
      </w:r>
    </w:p>
    <w:p>
      <w:pPr>
        <w:pStyle w:val="Normal"/>
        <w:autoSpaceDE w:val="false"/>
        <w:rPr/>
      </w:pPr>
      <w:r>
        <w:rPr/>
      </w:r>
    </w:p>
    <w:p>
      <w:pPr>
        <w:pStyle w:val="Normal"/>
        <w:autoSpaceDE w:val="false"/>
        <w:rPr/>
      </w:pPr>
      <w:r>
        <w:rPr/>
      </w:r>
    </w:p>
    <w:p>
      <w:pPr>
        <w:pStyle w:val="Normal"/>
        <w:autoSpaceDE w:val="false"/>
        <w:rPr>
          <w:b/>
          <w:bCs/>
        </w:rPr>
      </w:pPr>
      <w:r>
        <w:rPr>
          <w:b/>
          <w:bCs/>
        </w:rPr>
      </w:r>
    </w:p>
    <w:p>
      <w:pPr>
        <w:pStyle w:val="Normal"/>
        <w:autoSpaceDE w:val="false"/>
        <w:rPr>
          <w:b/>
          <w:bCs/>
        </w:rPr>
      </w:pPr>
      <w:r>
        <w:rPr>
          <w:b/>
          <w:bCs/>
        </w:rPr>
      </w:r>
    </w:p>
    <w:p>
      <w:pPr>
        <w:pStyle w:val="Normal"/>
        <w:autoSpaceDE w:val="false"/>
        <w:rPr>
          <w:b/>
          <w:bCs/>
        </w:rPr>
      </w:pPr>
      <w:r>
        <w:rPr>
          <w:b/>
          <w:bCs/>
        </w:rPr>
      </w:r>
    </w:p>
    <w:p>
      <w:pPr>
        <w:pStyle w:val="Normal"/>
        <w:autoSpaceDE w:val="false"/>
        <w:rPr>
          <w:b/>
          <w:bCs/>
        </w:rPr>
      </w:pPr>
      <w:r>
        <w:rPr>
          <w:b/>
          <w:bCs/>
        </w:rPr>
        <w:t>III. Product Matrix</w:t>
      </w:r>
    </w:p>
    <w:p>
      <w:pPr>
        <w:pStyle w:val="Normal"/>
        <w:autoSpaceDE w:val="false"/>
        <w:ind w:start="720" w:end="0"/>
        <w:rPr>
          <w:b/>
          <w:bCs/>
        </w:rPr>
      </w:pPr>
      <w:r>
        <w:rPr>
          <w:b/>
          <w:bCs/>
        </w:rPr>
      </w:r>
    </w:p>
    <w:tbl>
      <w:tblPr>
        <w:tblW w:w="9291" w:type="dxa"/>
        <w:jc w:val="start"/>
        <w:tblInd w:w="0" w:type="dxa"/>
        <w:tblLayout w:type="fixed"/>
        <w:tblCellMar>
          <w:top w:w="0" w:type="dxa"/>
          <w:start w:w="108" w:type="dxa"/>
          <w:bottom w:w="0" w:type="dxa"/>
          <w:end w:w="108" w:type="dxa"/>
        </w:tblCellMar>
      </w:tblPr>
      <w:tblGrid>
        <w:gridCol w:w="1908"/>
        <w:gridCol w:w="1815"/>
        <w:gridCol w:w="1425"/>
        <w:gridCol w:w="2428"/>
        <w:gridCol w:w="1715"/>
      </w:tblGrid>
      <w:tr>
        <w:trPr>
          <w:trHeight w:val="284" w:hRule="atLeast"/>
        </w:trPr>
        <w:tc>
          <w:tcPr>
            <w:tcW w:w="1908" w:type="dxa"/>
            <w:tcBorders>
              <w:top w:val="single" w:sz="4" w:space="0" w:color="000000"/>
              <w:start w:val="single" w:sz="4" w:space="0" w:color="000000"/>
              <w:bottom w:val="single" w:sz="4" w:space="0" w:color="000000"/>
              <w:end w:val="single" w:sz="4" w:space="0" w:color="000000"/>
            </w:tcBorders>
          </w:tcPr>
          <w:p>
            <w:pPr>
              <w:pStyle w:val="Normal"/>
              <w:autoSpaceDE w:val="false"/>
              <w:jc w:val="center"/>
              <w:rPr>
                <w:b/>
                <w:bCs/>
                <w:sz w:val="20"/>
              </w:rPr>
            </w:pPr>
            <w:r>
              <w:rPr>
                <w:b/>
                <w:bCs/>
                <w:sz w:val="20"/>
              </w:rPr>
              <w:t>Product</w:t>
            </w:r>
          </w:p>
        </w:tc>
        <w:tc>
          <w:tcPr>
            <w:tcW w:w="1815" w:type="dxa"/>
            <w:tcBorders>
              <w:top w:val="single" w:sz="4" w:space="0" w:color="000000"/>
              <w:start w:val="single" w:sz="4" w:space="0" w:color="000000"/>
              <w:bottom w:val="single" w:sz="4" w:space="0" w:color="000000"/>
              <w:end w:val="single" w:sz="4" w:space="0" w:color="000000"/>
            </w:tcBorders>
          </w:tcPr>
          <w:p>
            <w:pPr>
              <w:pStyle w:val="Normal"/>
              <w:autoSpaceDE w:val="false"/>
              <w:jc w:val="center"/>
              <w:rPr>
                <w:b/>
                <w:bCs/>
                <w:sz w:val="20"/>
              </w:rPr>
            </w:pPr>
            <w:r>
              <w:rPr>
                <w:b/>
                <w:bCs/>
                <w:sz w:val="20"/>
              </w:rPr>
              <w:t>Brief Description</w:t>
            </w:r>
          </w:p>
        </w:tc>
        <w:tc>
          <w:tcPr>
            <w:tcW w:w="1425" w:type="dxa"/>
            <w:tcBorders>
              <w:top w:val="single" w:sz="4" w:space="0" w:color="000000"/>
              <w:start w:val="single" w:sz="4" w:space="0" w:color="000000"/>
              <w:bottom w:val="single" w:sz="4" w:space="0" w:color="000000"/>
              <w:end w:val="single" w:sz="4" w:space="0" w:color="000000"/>
            </w:tcBorders>
          </w:tcPr>
          <w:p>
            <w:pPr>
              <w:pStyle w:val="Normal"/>
              <w:autoSpaceDE w:val="false"/>
              <w:jc w:val="center"/>
              <w:rPr>
                <w:b/>
                <w:bCs/>
                <w:sz w:val="20"/>
              </w:rPr>
            </w:pPr>
            <w:r>
              <w:rPr>
                <w:b/>
                <w:bCs/>
                <w:sz w:val="20"/>
              </w:rPr>
              <w:t>States Offered</w:t>
            </w:r>
          </w:p>
        </w:tc>
        <w:tc>
          <w:tcPr>
            <w:tcW w:w="2428" w:type="dxa"/>
            <w:tcBorders>
              <w:top w:val="single" w:sz="4" w:space="0" w:color="000000"/>
              <w:start w:val="single" w:sz="4" w:space="0" w:color="000000"/>
              <w:bottom w:val="single" w:sz="4" w:space="0" w:color="000000"/>
              <w:end w:val="single" w:sz="4" w:space="0" w:color="000000"/>
            </w:tcBorders>
          </w:tcPr>
          <w:p>
            <w:pPr>
              <w:pStyle w:val="Normal"/>
              <w:autoSpaceDE w:val="false"/>
              <w:jc w:val="center"/>
              <w:rPr>
                <w:b/>
                <w:bCs/>
                <w:sz w:val="20"/>
              </w:rPr>
            </w:pPr>
            <w:r>
              <w:rPr>
                <w:b/>
                <w:bCs/>
                <w:sz w:val="20"/>
              </w:rPr>
              <w:t>Pros</w:t>
            </w:r>
          </w:p>
        </w:tc>
        <w:tc>
          <w:tcPr>
            <w:tcW w:w="1715" w:type="dxa"/>
            <w:tcBorders>
              <w:top w:val="single" w:sz="4" w:space="0" w:color="000000"/>
              <w:start w:val="single" w:sz="4" w:space="0" w:color="000000"/>
              <w:bottom w:val="single" w:sz="4" w:space="0" w:color="000000"/>
              <w:end w:val="single" w:sz="4" w:space="0" w:color="000000"/>
            </w:tcBorders>
          </w:tcPr>
          <w:p>
            <w:pPr>
              <w:pStyle w:val="Normal"/>
              <w:autoSpaceDE w:val="false"/>
              <w:jc w:val="center"/>
              <w:rPr>
                <w:b/>
                <w:bCs/>
                <w:sz w:val="20"/>
              </w:rPr>
            </w:pPr>
            <w:r>
              <w:rPr>
                <w:b/>
                <w:bCs/>
                <w:sz w:val="20"/>
              </w:rPr>
              <w:t>Cons</w:t>
            </w:r>
          </w:p>
        </w:tc>
      </w:tr>
      <w:tr>
        <w:trPr>
          <w:trHeight w:val="284" w:hRule="atLeast"/>
        </w:trPr>
        <w:tc>
          <w:tcPr>
            <w:tcW w:w="1908" w:type="dxa"/>
            <w:tcBorders>
              <w:top w:val="single" w:sz="4" w:space="0" w:color="000000"/>
              <w:start w:val="single" w:sz="4" w:space="0" w:color="000000"/>
              <w:bottom w:val="single" w:sz="4" w:space="0" w:color="000000"/>
              <w:end w:val="single" w:sz="4" w:space="0" w:color="000000"/>
            </w:tcBorders>
          </w:tcPr>
          <w:p>
            <w:pPr>
              <w:pStyle w:val="Normal"/>
              <w:autoSpaceDE w:val="false"/>
              <w:rPr>
                <w:sz w:val="20"/>
              </w:rPr>
            </w:pPr>
            <w:r>
              <w:rPr>
                <w:sz w:val="20"/>
              </w:rPr>
              <w:t xml:space="preserve">Purchase of RECs from a variety of different  renewable energy projects with diverse locations. </w:t>
            </w:r>
          </w:p>
        </w:tc>
        <w:tc>
          <w:tcPr>
            <w:tcW w:w="1815" w:type="dxa"/>
            <w:tcBorders>
              <w:top w:val="single" w:sz="4" w:space="0" w:color="000000"/>
              <w:start w:val="single" w:sz="4" w:space="0" w:color="000000"/>
              <w:bottom w:val="single" w:sz="4" w:space="0" w:color="000000"/>
              <w:end w:val="single" w:sz="4" w:space="0" w:color="000000"/>
            </w:tcBorders>
          </w:tcPr>
          <w:p>
            <w:pPr>
              <w:pStyle w:val="Normal"/>
              <w:autoSpaceDE w:val="false"/>
              <w:rPr>
                <w:sz w:val="20"/>
              </w:rPr>
            </w:pPr>
            <w:r>
              <w:rPr>
                <w:sz w:val="20"/>
              </w:rPr>
              <w:t>GPMDG determines price point and appropriate blend of renewable power. RECs sourced from a variety of projects around the country, including new wind in Pacific Northwest and new biomass in California.</w:t>
            </w:r>
          </w:p>
        </w:tc>
        <w:tc>
          <w:tcPr>
            <w:tcW w:w="1425" w:type="dxa"/>
            <w:tcBorders>
              <w:top w:val="single" w:sz="4" w:space="0" w:color="000000"/>
              <w:start w:val="single" w:sz="4" w:space="0" w:color="000000"/>
              <w:bottom w:val="single" w:sz="4" w:space="0" w:color="000000"/>
              <w:end w:val="single" w:sz="4" w:space="0" w:color="000000"/>
            </w:tcBorders>
          </w:tcPr>
          <w:p>
            <w:pPr>
              <w:pStyle w:val="Normal"/>
              <w:autoSpaceDE w:val="false"/>
              <w:rPr>
                <w:sz w:val="20"/>
              </w:rPr>
            </w:pPr>
            <w:r>
              <w:rPr>
                <w:sz w:val="20"/>
              </w:rPr>
              <w:t>All U.S. States</w:t>
            </w:r>
          </w:p>
        </w:tc>
        <w:tc>
          <w:tcPr>
            <w:tcW w:w="2428" w:type="dxa"/>
            <w:tcBorders>
              <w:top w:val="single" w:sz="4" w:space="0" w:color="000000"/>
              <w:start w:val="single" w:sz="4" w:space="0" w:color="000000"/>
              <w:bottom w:val="single" w:sz="4" w:space="0" w:color="000000"/>
              <w:end w:val="single" w:sz="4" w:space="0" w:color="000000"/>
            </w:tcBorders>
          </w:tcPr>
          <w:p>
            <w:pPr>
              <w:pStyle w:val="Normal"/>
              <w:autoSpaceDE w:val="false"/>
              <w:rPr>
                <w:sz w:val="20"/>
              </w:rPr>
            </w:pPr>
            <w:r>
              <w:rPr>
                <w:sz w:val="20"/>
              </w:rPr>
              <w:t>Purchase of RECs increasingly seen as effective way to support new renewables. Ability to source tags from range of different projects allows for maximum price flexibility and ability to tailor custom blend. GPMDG can aftermarket RECs at prevailing prices if they choose not to use them all.</w:t>
            </w:r>
          </w:p>
        </w:tc>
        <w:tc>
          <w:tcPr>
            <w:tcW w:w="1715" w:type="dxa"/>
            <w:tcBorders>
              <w:top w:val="single" w:sz="4" w:space="0" w:color="000000"/>
              <w:start w:val="single" w:sz="4" w:space="0" w:color="000000"/>
              <w:bottom w:val="single" w:sz="4" w:space="0" w:color="000000"/>
              <w:end w:val="single" w:sz="4" w:space="0" w:color="000000"/>
            </w:tcBorders>
          </w:tcPr>
          <w:p>
            <w:pPr>
              <w:pStyle w:val="Normal"/>
              <w:autoSpaceDE w:val="false"/>
              <w:rPr>
                <w:sz w:val="20"/>
              </w:rPr>
            </w:pPr>
            <w:r>
              <w:rPr>
                <w:sz w:val="20"/>
              </w:rPr>
              <w:t>Not effective from a price-hedging point of view. GPMDG cannot take credit for bringing on new generation.</w:t>
            </w:r>
          </w:p>
        </w:tc>
      </w:tr>
      <w:tr>
        <w:trPr>
          <w:trHeight w:val="284" w:hRule="atLeast"/>
        </w:trPr>
        <w:tc>
          <w:tcPr>
            <w:tcW w:w="1908" w:type="dxa"/>
            <w:tcBorders>
              <w:top w:val="single" w:sz="4" w:space="0" w:color="000000"/>
              <w:start w:val="single" w:sz="4" w:space="0" w:color="000000"/>
              <w:bottom w:val="single" w:sz="4" w:space="0" w:color="000000"/>
              <w:end w:val="single" w:sz="4" w:space="0" w:color="000000"/>
            </w:tcBorders>
          </w:tcPr>
          <w:p>
            <w:pPr>
              <w:pStyle w:val="Normal"/>
              <w:autoSpaceDE w:val="false"/>
              <w:rPr>
                <w:sz w:val="20"/>
              </w:rPr>
            </w:pPr>
            <w:r>
              <w:rPr>
                <w:sz w:val="20"/>
              </w:rPr>
              <w:t>Purchase of RECs from a variety of different renewable energy projects bundled with fixed-price, retail electricity.</w:t>
            </w:r>
          </w:p>
        </w:tc>
        <w:tc>
          <w:tcPr>
            <w:tcW w:w="1815" w:type="dxa"/>
            <w:tcBorders>
              <w:top w:val="single" w:sz="4" w:space="0" w:color="000000"/>
              <w:start w:val="single" w:sz="4" w:space="0" w:color="000000"/>
              <w:bottom w:val="single" w:sz="4" w:space="0" w:color="000000"/>
              <w:end w:val="single" w:sz="4" w:space="0" w:color="000000"/>
            </w:tcBorders>
          </w:tcPr>
          <w:p>
            <w:pPr>
              <w:pStyle w:val="Normal"/>
              <w:autoSpaceDE w:val="false"/>
              <w:rPr>
                <w:sz w:val="20"/>
              </w:rPr>
            </w:pPr>
            <w:r>
              <w:rPr>
                <w:sz w:val="20"/>
              </w:rPr>
              <w:t>GPMDG determines price point and appropriate blend of renewable power. RECs sourced from a variety of projects around the country, including new wind in Pacific Northwest and new biomass in California. RECs bundled with physical electricity to create certified renewable energy.</w:t>
            </w:r>
          </w:p>
        </w:tc>
        <w:tc>
          <w:tcPr>
            <w:tcW w:w="1425" w:type="dxa"/>
            <w:tcBorders>
              <w:top w:val="single" w:sz="4" w:space="0" w:color="000000"/>
              <w:start w:val="single" w:sz="4" w:space="0" w:color="000000"/>
              <w:bottom w:val="single" w:sz="4" w:space="0" w:color="000000"/>
              <w:end w:val="single" w:sz="4" w:space="0" w:color="000000"/>
            </w:tcBorders>
          </w:tcPr>
          <w:p>
            <w:pPr>
              <w:pStyle w:val="Normal"/>
              <w:autoSpaceDE w:val="false"/>
              <w:rPr>
                <w:sz w:val="20"/>
              </w:rPr>
            </w:pPr>
            <w:r>
              <w:rPr>
                <w:sz w:val="20"/>
              </w:rPr>
              <w:t>CA, TX,OH ME,PA,MA, RI,NY,NH</w:t>
            </w:r>
          </w:p>
        </w:tc>
        <w:tc>
          <w:tcPr>
            <w:tcW w:w="2428" w:type="dxa"/>
            <w:tcBorders>
              <w:top w:val="single" w:sz="4" w:space="0" w:color="000000"/>
              <w:start w:val="single" w:sz="4" w:space="0" w:color="000000"/>
              <w:bottom w:val="single" w:sz="4" w:space="0" w:color="000000"/>
              <w:end w:val="single" w:sz="4" w:space="0" w:color="000000"/>
            </w:tcBorders>
          </w:tcPr>
          <w:p>
            <w:pPr>
              <w:pStyle w:val="Normal"/>
              <w:autoSpaceDE w:val="false"/>
              <w:rPr>
                <w:sz w:val="20"/>
              </w:rPr>
            </w:pPr>
            <w:r>
              <w:rPr>
                <w:sz w:val="20"/>
              </w:rPr>
              <w:t>Purchase of RECs increasingly seen as effective way to support new renewables. Ability to source tags from range of different projects allows for maximum price flexibility and ability to tailor custom blend. Bundling with fixed-price energy provides effective price hedge. GPMDG can aftermarket RECs at prevailing prices if they choose not to use them all.</w:t>
            </w:r>
          </w:p>
        </w:tc>
        <w:tc>
          <w:tcPr>
            <w:tcW w:w="1715" w:type="dxa"/>
            <w:tcBorders>
              <w:top w:val="single" w:sz="4" w:space="0" w:color="000000"/>
              <w:start w:val="single" w:sz="4" w:space="0" w:color="000000"/>
              <w:bottom w:val="single" w:sz="4" w:space="0" w:color="000000"/>
              <w:end w:val="single" w:sz="4" w:space="0" w:color="000000"/>
            </w:tcBorders>
          </w:tcPr>
          <w:p>
            <w:pPr>
              <w:pStyle w:val="Normal"/>
              <w:autoSpaceDE w:val="false"/>
              <w:rPr>
                <w:sz w:val="20"/>
              </w:rPr>
            </w:pPr>
            <w:r>
              <w:rPr>
                <w:sz w:val="20"/>
              </w:rPr>
              <w:t>Limited to deregulated states. GPMDG cannot take credit for bringing on new generation.</w:t>
            </w:r>
          </w:p>
        </w:tc>
      </w:tr>
      <w:tr>
        <w:trPr>
          <w:trHeight w:val="284" w:hRule="atLeast"/>
        </w:trPr>
        <w:tc>
          <w:tcPr>
            <w:tcW w:w="1908" w:type="dxa"/>
            <w:tcBorders>
              <w:top w:val="single" w:sz="4" w:space="0" w:color="000000"/>
              <w:start w:val="single" w:sz="4" w:space="0" w:color="000000"/>
              <w:bottom w:val="single" w:sz="4" w:space="0" w:color="000000"/>
              <w:end w:val="single" w:sz="4" w:space="0" w:color="000000"/>
            </w:tcBorders>
          </w:tcPr>
          <w:p>
            <w:pPr>
              <w:pStyle w:val="Normal"/>
              <w:autoSpaceDE w:val="false"/>
              <w:rPr>
                <w:sz w:val="20"/>
              </w:rPr>
            </w:pPr>
            <w:r>
              <w:rPr>
                <w:sz w:val="20"/>
              </w:rPr>
              <w:t>Financial Renewable Swap coupled with wholesale utility contract for a new generation facility.</w:t>
            </w:r>
          </w:p>
        </w:tc>
        <w:tc>
          <w:tcPr>
            <w:tcW w:w="1815" w:type="dxa"/>
            <w:tcBorders>
              <w:top w:val="single" w:sz="4" w:space="0" w:color="000000"/>
              <w:start w:val="single" w:sz="4" w:space="0" w:color="000000"/>
              <w:bottom w:val="single" w:sz="4" w:space="0" w:color="000000"/>
              <w:end w:val="single" w:sz="4" w:space="0" w:color="000000"/>
            </w:tcBorders>
          </w:tcPr>
          <w:p>
            <w:pPr>
              <w:pStyle w:val="Normal"/>
              <w:autoSpaceDE w:val="false"/>
              <w:rPr>
                <w:sz w:val="20"/>
              </w:rPr>
            </w:pPr>
            <w:r>
              <w:rPr>
                <w:sz w:val="20"/>
              </w:rPr>
              <w:t>GPMDG identifies specific new wind project and offers long-term price security and financial viability by paying difference between wholesale power price in utility contract and target busbar price. GPMDG takes title to all environmental attributes (RECs) from project.</w:t>
            </w:r>
          </w:p>
        </w:tc>
        <w:tc>
          <w:tcPr>
            <w:tcW w:w="1425" w:type="dxa"/>
            <w:tcBorders>
              <w:top w:val="single" w:sz="4" w:space="0" w:color="000000"/>
              <w:start w:val="single" w:sz="4" w:space="0" w:color="000000"/>
              <w:bottom w:val="single" w:sz="4" w:space="0" w:color="000000"/>
              <w:end w:val="single" w:sz="4" w:space="0" w:color="000000"/>
            </w:tcBorders>
          </w:tcPr>
          <w:p>
            <w:pPr>
              <w:pStyle w:val="Normal"/>
              <w:autoSpaceDE w:val="false"/>
              <w:rPr>
                <w:sz w:val="20"/>
              </w:rPr>
            </w:pPr>
            <w:r>
              <w:rPr>
                <w:sz w:val="20"/>
              </w:rPr>
              <w:t>Enron opportunities in Washington State and Illinois (ComEd System).</w:t>
            </w:r>
          </w:p>
        </w:tc>
        <w:tc>
          <w:tcPr>
            <w:tcW w:w="2428" w:type="dxa"/>
            <w:tcBorders>
              <w:top w:val="single" w:sz="4" w:space="0" w:color="000000"/>
              <w:start w:val="single" w:sz="4" w:space="0" w:color="000000"/>
              <w:bottom w:val="single" w:sz="4" w:space="0" w:color="000000"/>
              <w:end w:val="single" w:sz="4" w:space="0" w:color="000000"/>
            </w:tcBorders>
          </w:tcPr>
          <w:p>
            <w:pPr>
              <w:pStyle w:val="Normal"/>
              <w:autoSpaceDE w:val="false"/>
              <w:rPr>
                <w:sz w:val="20"/>
              </w:rPr>
            </w:pPr>
            <w:r>
              <w:rPr>
                <w:sz w:val="20"/>
              </w:rPr>
              <w:t>GPMDG participates in project from early stages, claims responsibility for supporting new generation. Project can be named in honor of participating members. Participation in specific project supports economies of scale and helps develop wind in regions best suited to such development. GPMDG can aftermarket RECs at prevailing prices if they choose not to use them all.</w:t>
            </w:r>
          </w:p>
        </w:tc>
        <w:tc>
          <w:tcPr>
            <w:tcW w:w="1715" w:type="dxa"/>
            <w:tcBorders>
              <w:top w:val="single" w:sz="4" w:space="0" w:color="000000"/>
              <w:start w:val="single" w:sz="4" w:space="0" w:color="000000"/>
              <w:bottom w:val="single" w:sz="4" w:space="0" w:color="000000"/>
              <w:end w:val="single" w:sz="4" w:space="0" w:color="000000"/>
            </w:tcBorders>
          </w:tcPr>
          <w:p>
            <w:pPr>
              <w:pStyle w:val="Normal"/>
              <w:autoSpaceDE w:val="false"/>
              <w:rPr>
                <w:sz w:val="20"/>
              </w:rPr>
            </w:pPr>
            <w:r>
              <w:rPr>
                <w:sz w:val="20"/>
              </w:rPr>
              <w:t>May be somewhat expensive given current market environment. If there are substantial differences between wholesale prices in project region and customer’s load region, premium may be untenable. Without fixed-price energy component, not a good hedging strategy.</w:t>
            </w:r>
          </w:p>
        </w:tc>
      </w:tr>
      <w:tr>
        <w:trPr>
          <w:trHeight w:val="284" w:hRule="atLeast"/>
        </w:trPr>
        <w:tc>
          <w:tcPr>
            <w:tcW w:w="1908" w:type="dxa"/>
            <w:tcBorders>
              <w:top w:val="single" w:sz="4" w:space="0" w:color="000000"/>
              <w:start w:val="single" w:sz="4" w:space="0" w:color="000000"/>
              <w:bottom w:val="single" w:sz="4" w:space="0" w:color="000000"/>
              <w:end w:val="single" w:sz="4" w:space="0" w:color="000000"/>
            </w:tcBorders>
          </w:tcPr>
          <w:p>
            <w:pPr>
              <w:pStyle w:val="Normal"/>
              <w:autoSpaceDE w:val="false"/>
              <w:rPr>
                <w:sz w:val="20"/>
              </w:rPr>
            </w:pPr>
            <w:r>
              <w:rPr>
                <w:sz w:val="20"/>
              </w:rPr>
              <w:t>Financial Renewable Swap written against a specific price index for a new wind project built as a merchant plant.</w:t>
            </w:r>
          </w:p>
        </w:tc>
        <w:tc>
          <w:tcPr>
            <w:tcW w:w="1815" w:type="dxa"/>
            <w:tcBorders>
              <w:top w:val="single" w:sz="4" w:space="0" w:color="000000"/>
              <w:start w:val="single" w:sz="4" w:space="0" w:color="000000"/>
              <w:bottom w:val="single" w:sz="4" w:space="0" w:color="000000"/>
              <w:end w:val="single" w:sz="4" w:space="0" w:color="000000"/>
            </w:tcBorders>
          </w:tcPr>
          <w:p>
            <w:pPr>
              <w:pStyle w:val="Normal"/>
              <w:autoSpaceDE w:val="false"/>
              <w:rPr>
                <w:sz w:val="20"/>
              </w:rPr>
            </w:pPr>
            <w:r>
              <w:rPr>
                <w:sz w:val="20"/>
              </w:rPr>
              <w:t>GPMDG identifies specific new wind project with merchant exposure and offers long-term price security and financial viability by paying difference between wholesale price index and target busbar price. GPMDG takes title to all environmental attributes (RECs) from project.</w:t>
            </w:r>
          </w:p>
        </w:tc>
        <w:tc>
          <w:tcPr>
            <w:tcW w:w="1425" w:type="dxa"/>
            <w:tcBorders>
              <w:top w:val="single" w:sz="4" w:space="0" w:color="000000"/>
              <w:start w:val="single" w:sz="4" w:space="0" w:color="000000"/>
              <w:bottom w:val="single" w:sz="4" w:space="0" w:color="000000"/>
              <w:end w:val="single" w:sz="4" w:space="0" w:color="000000"/>
            </w:tcBorders>
          </w:tcPr>
          <w:p>
            <w:pPr>
              <w:pStyle w:val="Normal"/>
              <w:autoSpaceDE w:val="false"/>
              <w:rPr>
                <w:sz w:val="20"/>
              </w:rPr>
            </w:pPr>
            <w:r>
              <w:rPr>
                <w:sz w:val="20"/>
              </w:rPr>
              <w:t>Enron opportunities in Washington State and Illinois.</w:t>
            </w:r>
          </w:p>
        </w:tc>
        <w:tc>
          <w:tcPr>
            <w:tcW w:w="2428" w:type="dxa"/>
            <w:tcBorders>
              <w:top w:val="single" w:sz="4" w:space="0" w:color="000000"/>
              <w:start w:val="single" w:sz="4" w:space="0" w:color="000000"/>
              <w:bottom w:val="single" w:sz="4" w:space="0" w:color="000000"/>
              <w:end w:val="single" w:sz="4" w:space="0" w:color="000000"/>
            </w:tcBorders>
          </w:tcPr>
          <w:p>
            <w:pPr>
              <w:pStyle w:val="Normal"/>
              <w:autoSpaceDE w:val="false"/>
              <w:rPr>
                <w:sz w:val="20"/>
              </w:rPr>
            </w:pPr>
            <w:r>
              <w:rPr>
                <w:sz w:val="20"/>
              </w:rPr>
              <w:t>GPMDG participates in project from early stages, claims responsibility for supporting new generation. Project can be named in honor of participating members. Participation in specific project supports economies of scale and helps develop wind in regions best suited to such development. Merchant transaction would be unprecedented and would offer GPMDG upside in the event that power prices spiked. GPMDG can aftermarket RECs at prevailing prices if they choose not to use them all.</w:t>
            </w:r>
          </w:p>
        </w:tc>
        <w:tc>
          <w:tcPr>
            <w:tcW w:w="1715" w:type="dxa"/>
            <w:tcBorders>
              <w:top w:val="single" w:sz="4" w:space="0" w:color="000000"/>
              <w:start w:val="single" w:sz="4" w:space="0" w:color="000000"/>
              <w:bottom w:val="single" w:sz="4" w:space="0" w:color="000000"/>
              <w:end w:val="single" w:sz="4" w:space="0" w:color="000000"/>
            </w:tcBorders>
          </w:tcPr>
          <w:p>
            <w:pPr>
              <w:pStyle w:val="Normal"/>
              <w:autoSpaceDE w:val="false"/>
              <w:rPr>
                <w:sz w:val="20"/>
              </w:rPr>
            </w:pPr>
            <w:r>
              <w:rPr>
                <w:sz w:val="20"/>
              </w:rPr>
              <w:t>May be somewhat expensive given current market environment. If there are substantial differences between wholesale prices in project region and customer’s load region, premium may be untenable. Without fixed-price energy component, not a good hedging strategy.</w:t>
            </w:r>
          </w:p>
        </w:tc>
      </w:tr>
      <w:tr>
        <w:trPr>
          <w:trHeight w:val="300" w:hRule="atLeast"/>
        </w:trPr>
        <w:tc>
          <w:tcPr>
            <w:tcW w:w="1908" w:type="dxa"/>
            <w:tcBorders>
              <w:top w:val="single" w:sz="4" w:space="0" w:color="000000"/>
              <w:start w:val="single" w:sz="4" w:space="0" w:color="000000"/>
              <w:bottom w:val="single" w:sz="4" w:space="0" w:color="000000"/>
              <w:end w:val="single" w:sz="4" w:space="0" w:color="000000"/>
            </w:tcBorders>
          </w:tcPr>
          <w:p>
            <w:pPr>
              <w:pStyle w:val="Normal"/>
              <w:autoSpaceDE w:val="false"/>
              <w:rPr>
                <w:sz w:val="20"/>
              </w:rPr>
            </w:pPr>
            <w:r>
              <w:rPr>
                <w:sz w:val="20"/>
              </w:rPr>
              <w:t>Financial Renewable Swap applied to  specific new wind project  bundled with physical fixed price electricity in GPMDG customer load area.</w:t>
            </w:r>
          </w:p>
        </w:tc>
        <w:tc>
          <w:tcPr>
            <w:tcW w:w="1815" w:type="dxa"/>
            <w:tcBorders>
              <w:top w:val="single" w:sz="4" w:space="0" w:color="000000"/>
              <w:start w:val="single" w:sz="4" w:space="0" w:color="000000"/>
              <w:bottom w:val="single" w:sz="4" w:space="0" w:color="000000"/>
              <w:end w:val="single" w:sz="4" w:space="0" w:color="000000"/>
            </w:tcBorders>
          </w:tcPr>
          <w:p>
            <w:pPr>
              <w:pStyle w:val="Normal"/>
              <w:autoSpaceDE w:val="false"/>
              <w:rPr>
                <w:sz w:val="20"/>
              </w:rPr>
            </w:pPr>
            <w:r>
              <w:rPr>
                <w:sz w:val="20"/>
              </w:rPr>
              <w:t xml:space="preserve">GPMDG writes swap against wholesale component of new wind project in Pacific Northwest and/or Mid-West and purchases firm fixed-price energy for production facilities in certain states. </w:t>
            </w:r>
          </w:p>
        </w:tc>
        <w:tc>
          <w:tcPr>
            <w:tcW w:w="1425" w:type="dxa"/>
            <w:tcBorders>
              <w:top w:val="single" w:sz="4" w:space="0" w:color="000000"/>
              <w:start w:val="single" w:sz="4" w:space="0" w:color="000000"/>
              <w:bottom w:val="single" w:sz="4" w:space="0" w:color="000000"/>
              <w:end w:val="single" w:sz="4" w:space="0" w:color="000000"/>
            </w:tcBorders>
          </w:tcPr>
          <w:p>
            <w:pPr>
              <w:pStyle w:val="Normal"/>
              <w:autoSpaceDE w:val="false"/>
              <w:rPr>
                <w:sz w:val="20"/>
              </w:rPr>
            </w:pPr>
            <w:r>
              <w:rPr>
                <w:sz w:val="20"/>
              </w:rPr>
              <w:t xml:space="preserve">Wind projects in Washington State and Illinois, retail product offerings in CA, TX,OH ME,PA,MA, RI,NY,NH. </w:t>
            </w:r>
          </w:p>
        </w:tc>
        <w:tc>
          <w:tcPr>
            <w:tcW w:w="2428" w:type="dxa"/>
            <w:tcBorders>
              <w:top w:val="single" w:sz="4" w:space="0" w:color="000000"/>
              <w:start w:val="single" w:sz="4" w:space="0" w:color="000000"/>
              <w:bottom w:val="single" w:sz="4" w:space="0" w:color="000000"/>
              <w:end w:val="single" w:sz="4" w:space="0" w:color="000000"/>
            </w:tcBorders>
          </w:tcPr>
          <w:p>
            <w:pPr>
              <w:pStyle w:val="Normal"/>
              <w:autoSpaceDE w:val="false"/>
              <w:rPr>
                <w:sz w:val="20"/>
              </w:rPr>
            </w:pPr>
            <w:r>
              <w:rPr>
                <w:sz w:val="20"/>
              </w:rPr>
              <w:t xml:space="preserve">GPMDG takes credit for supporting new wind project(s) and locks in price hedge with green-e certifiable renewable electricity. GPMDG can decide to remarket excess RECs at market prices if it so chooses. </w:t>
            </w:r>
          </w:p>
        </w:tc>
        <w:tc>
          <w:tcPr>
            <w:tcW w:w="1715" w:type="dxa"/>
            <w:tcBorders>
              <w:top w:val="single" w:sz="4" w:space="0" w:color="000000"/>
              <w:start w:val="single" w:sz="4" w:space="0" w:color="000000"/>
              <w:bottom w:val="single" w:sz="4" w:space="0" w:color="000000"/>
              <w:end w:val="single" w:sz="4" w:space="0" w:color="000000"/>
            </w:tcBorders>
          </w:tcPr>
          <w:p>
            <w:pPr>
              <w:pStyle w:val="Normal"/>
              <w:autoSpaceDE w:val="false"/>
              <w:rPr>
                <w:sz w:val="20"/>
              </w:rPr>
            </w:pPr>
            <w:r>
              <w:rPr>
                <w:sz w:val="20"/>
              </w:rPr>
              <w:t>Complex rules regarding “claims” about renewable energy purchases may limit REC remarketing ability. Low wholesale power prices may result in relatively high green premiums, but large-sized project and appropriately structured PPAs may mitigate this.</w:t>
            </w:r>
          </w:p>
        </w:tc>
      </w:tr>
    </w:tbl>
    <w:p>
      <w:pPr>
        <w:pStyle w:val="Normal"/>
        <w:autoSpaceDE w:val="false"/>
        <w:ind w:start="720" w:end="0"/>
        <w:rPr/>
      </w:pPr>
      <w:r>
        <w:rPr/>
      </w:r>
    </w:p>
    <w:p>
      <w:pPr>
        <w:pStyle w:val="Heading1"/>
        <w:autoSpaceDE w:val="false"/>
        <w:ind w:hanging="0" w:start="0"/>
        <w:rPr/>
      </w:pPr>
      <w:r>
        <w:rPr/>
        <w:t>Conclusion and Recommendation</w:t>
      </w:r>
    </w:p>
    <w:p>
      <w:pPr>
        <w:pStyle w:val="Normal"/>
        <w:autoSpaceDE w:val="false"/>
        <w:rPr/>
      </w:pPr>
      <w:r>
        <w:rPr/>
        <w:t>The Green Power Market Development Group’s focus on creating demand for new sources of renewable generation is well-placed – it is the central goal of my group at Enron. Providing price security for a new project selling into the wholesale market, taking title to all of the environmental attributes from the project with the option of remarketing them, and then purchasing fixed-price power to lock in a renewable hedge is, in my opinion, the best strategy for the GPMDG. At the same time, however, we are probably facing at least 15-24 months before the first project will be on line. I would therefore like to propose an initial 18-month sale of firm, fixed-price renewable power with attributes from new, but existing projects, as a bridge to long-term participation in one or two new projects (ideally one in the Pacific Northwest and one in the Mid-West with the option of also exploring the Northeast). Clearly, this would allow us to consummate an initial transaction (which would help me grow my renewable energy business within Enron) and would allow the GPMDG to demonstrate tangible, immediate action towards it’s long-term goal of purchasing 1,000 MW of new renewable energy.</w:t>
      </w:r>
    </w:p>
    <w:p>
      <w:pPr>
        <w:pStyle w:val="Normal"/>
        <w:autoSpaceDE w:val="false"/>
        <w:rPr/>
      </w:pPr>
      <w:r>
        <w:rPr/>
        <w:t>I have covered a lot of ground in this second proposal, and I look forward to meeting in person with the members of the Green Power Market Development Group to sharpen our analysis and pricing and, hopefully, to move forward on an innovative and high-visibility transaction.</w:t>
      </w:r>
    </w:p>
    <w:p>
      <w:pPr>
        <w:pStyle w:val="Normal"/>
        <w:autoSpaceDE w:val="false"/>
        <w:rPr/>
      </w:pPr>
      <w:r>
        <w:rPr/>
      </w:r>
    </w:p>
    <w:p>
      <w:pPr>
        <w:pStyle w:val="Normal"/>
        <w:autoSpaceDE w:val="false"/>
        <w:rPr/>
      </w:pPr>
      <w:r>
        <w:rPr/>
      </w:r>
    </w:p>
    <w:p>
      <w:pPr>
        <w:pStyle w:val="Normal"/>
        <w:autoSpaceDE w:val="false"/>
        <w:rPr/>
      </w:pPr>
      <w:r>
        <w:rPr/>
        <w:t>With best wishes,</w:t>
      </w:r>
    </w:p>
    <w:p>
      <w:pPr>
        <w:pStyle w:val="Normal"/>
        <w:autoSpaceDE w:val="false"/>
        <w:rPr/>
      </w:pPr>
      <w:r>
        <w:rPr/>
      </w:r>
    </w:p>
    <w:p>
      <w:pPr>
        <w:pStyle w:val="Normal"/>
        <w:autoSpaceDE w:val="false"/>
        <w:rPr/>
      </w:pPr>
      <w:r>
        <w:rPr/>
      </w:r>
    </w:p>
    <w:p>
      <w:pPr>
        <w:pStyle w:val="Normal"/>
        <w:autoSpaceDE w:val="false"/>
        <w:rPr/>
      </w:pPr>
      <w:r>
        <w:rPr/>
        <w:t>Elliot Mainzer</w:t>
      </w:r>
    </w:p>
    <w:p>
      <w:pPr>
        <w:pStyle w:val="Normal"/>
        <w:autoSpaceDE w:val="false"/>
        <w:rPr/>
      </w:pPr>
      <w:r>
        <w:rPr/>
        <w:t>Renewable Power Desk</w:t>
      </w:r>
    </w:p>
    <w:p>
      <w:pPr>
        <w:pStyle w:val="Normal"/>
        <w:autoSpaceDE w:val="false"/>
        <w:rPr/>
      </w:pPr>
      <w:r>
        <w:rPr/>
        <w:t>Enron North America</w:t>
      </w:r>
    </w:p>
    <w:p>
      <w:pPr>
        <w:pStyle w:val="Normal"/>
        <w:autoSpaceDE w:val="false"/>
        <w:rPr/>
      </w:pPr>
      <w:r>
        <w:rPr/>
        <w:t>121 SW Salmon St.</w:t>
      </w:r>
    </w:p>
    <w:p>
      <w:pPr>
        <w:pStyle w:val="Normal"/>
        <w:autoSpaceDE w:val="false"/>
        <w:rPr/>
      </w:pPr>
      <w:r>
        <w:rPr/>
        <w:t>3WTC-0306</w:t>
      </w:r>
    </w:p>
    <w:p>
      <w:pPr>
        <w:pStyle w:val="Normal"/>
        <w:autoSpaceDE w:val="false"/>
        <w:rPr/>
      </w:pPr>
      <w:r>
        <w:rPr/>
        <w:t>Portland, OR  97201</w:t>
      </w:r>
    </w:p>
    <w:p>
      <w:pPr>
        <w:pStyle w:val="Normal"/>
        <w:autoSpaceDE w:val="false"/>
        <w:rPr/>
      </w:pPr>
      <w:r>
        <w:rPr/>
        <w:t>(503) 464-3706</w:t>
      </w:r>
    </w:p>
    <w:p>
      <w:pPr>
        <w:pStyle w:val="Normal"/>
        <w:autoSpaceDE w:val="false"/>
        <w:rPr/>
      </w:pPr>
      <w:r>
        <w:rPr/>
        <w:t>(503) 464-3740 (FX)</w:t>
      </w:r>
    </w:p>
    <w:p>
      <w:pPr>
        <w:pStyle w:val="Normal"/>
        <w:autoSpaceDE w:val="false"/>
        <w:rPr/>
      </w:pPr>
      <w:r>
        <w:rPr/>
        <w:t>elliot.mainzer@enron.com</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abstractNum w:abstractNumId="3">
    <w:lvl w:ilvl="0">
      <w:start w:val="7"/>
      <w:numFmt w:val="decimal"/>
      <w:lvlText w:val="%1."/>
      <w:lvlJc w:val="start"/>
      <w:pPr>
        <w:tabs>
          <w:tab w:val="num" w:pos="720"/>
        </w:tabs>
        <w:ind w:start="720" w:hanging="360"/>
      </w:pPr>
      <w:rPr/>
    </w:lvl>
  </w:abstractNum>
  <w:abstractNum w:abstractNumId="4">
    <w:lvl w:ilvl="0">
      <w:start w:val="1"/>
      <w:numFmt w:val="bullet"/>
      <w:lvlText w:val=""/>
      <w:lvlJc w:val="start"/>
      <w:pPr>
        <w:tabs>
          <w:tab w:val="num" w:pos="720"/>
        </w:tabs>
        <w:ind w:start="72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character" w:styleId="WW8Num1z0">
    <w:name w:val="WW8Num1z0"/>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5z0">
    <w:name w:val="WW8Num5z0"/>
    <w:qFormat/>
    <w:rPr>
      <w:rFonts w:ascii="Wingdings" w:hAnsi="Wingdings" w:cs="Wingdings"/>
    </w:rPr>
  </w:style>
  <w:style w:type="character" w:styleId="WW8Num5z1">
    <w:name w:val="WW8Num5z1"/>
    <w:qFormat/>
    <w:rPr>
      <w:rFonts w:ascii="Courier New" w:hAnsi="Courier New" w:cs="Courier New"/>
    </w:rPr>
  </w:style>
  <w:style w:type="character" w:styleId="WW8Num5z3">
    <w:name w:val="WW8Num5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2001-10-01T21:32:00Z</dcterms:created>
  <dc:creator>emainze</dc:creator>
  <dc:description/>
  <dc:language>en-CA</dc:language>
  <cp:lastModifiedBy>emainze</cp:lastModifiedBy>
  <cp:lastPrinted>2001-10-01T16:23:00Z</cp:lastPrinted>
  <dcterms:modified xsi:type="dcterms:W3CDTF">2001-10-01T21:32:00Z</dcterms:modified>
  <cp:revision>2</cp:revision>
  <dc:subject/>
  <dc:title>Production Tax Credit Overview</dc:title>
</cp:coreProperties>
</file>