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numPr>
          <w:ilvl w:val="0"/>
          <w:numId w:val="0"/>
        </w:numPr>
        <w:jc w:val="center"/>
        <w:outlineLvl w:val="0"/>
        <w:rPr>
          <w:b/>
        </w:rPr>
      </w:pPr>
      <w:r>
        <w:rPr>
          <w:b/>
        </w:rPr>
        <w:t>CONSENT AND AGREEMENT</w:t>
      </w:r>
    </w:p>
    <w:p>
      <w:pPr>
        <w:pStyle w:val="Normal"/>
        <w:widowControl/>
        <w:jc w:val="center"/>
        <w:rPr>
          <w:b/>
        </w:rPr>
      </w:pPr>
      <w:r>
        <w:rPr>
          <w:b/>
        </w:rPr>
      </w:r>
    </w:p>
    <w:p>
      <w:pPr>
        <w:pStyle w:val="Normal"/>
        <w:widowControl/>
        <w:jc w:val="both"/>
        <w:rPr>
          <w:b/>
        </w:rPr>
      </w:pPr>
      <w:r>
        <w:rPr>
          <w:b/>
        </w:rPr>
      </w:r>
    </w:p>
    <w:p>
      <w:pPr>
        <w:pStyle w:val="Normal"/>
        <w:widowControl/>
        <w:ind w:firstLine="720" w:end="0"/>
        <w:jc w:val="both"/>
        <w:rPr/>
      </w:pPr>
      <w:r>
        <w:rPr/>
        <w:t>A.</w:t>
        <w:tab/>
        <w:t xml:space="preserve">[Name of Marketer] ("Marketer") has entered into a Master Firm Purchase/Sale Agreement dated as of _______________, 2001 (the "Marketer Purchase Agreement", or "MPA"), among Marketer and Enron North America Corp. ("Enron"), pursuant to which Marketer will purchase energy commodities from Enron from time to time in accordance with the terms thereof. </w:t>
      </w:r>
    </w:p>
    <w:p>
      <w:pPr>
        <w:pStyle w:val="Normal"/>
        <w:widowControl/>
        <w:jc w:val="both"/>
        <w:rPr/>
      </w:pPr>
      <w:r>
        <w:rPr/>
      </w:r>
    </w:p>
    <w:p>
      <w:pPr>
        <w:pStyle w:val="Normal"/>
        <w:widowControl/>
        <w:ind w:firstLine="720" w:end="0"/>
        <w:jc w:val="both"/>
        <w:rPr/>
      </w:pPr>
      <w:r>
        <w:rPr/>
        <w:t>B.</w:t>
        <w:tab/>
        <w:t xml:space="preserve">Generator ("Generator") and Marketer have entered into a [Gas Purchase and Sale Agreement] dated as of _____________________, 2001 (the "Generator Purchase Agreement", or "GPA"),  pursuant to which Generator will purchase energy commodities from Marketer from time to time. </w:t>
      </w:r>
    </w:p>
    <w:p>
      <w:pPr>
        <w:pStyle w:val="Normal"/>
        <w:widowControl/>
        <w:jc w:val="both"/>
        <w:rPr/>
      </w:pPr>
      <w:r>
        <w:rPr/>
      </w:r>
    </w:p>
    <w:p>
      <w:pPr>
        <w:pStyle w:val="Normal"/>
        <w:widowControl/>
        <w:ind w:firstLine="720" w:end="0"/>
        <w:jc w:val="both"/>
        <w:rPr/>
      </w:pPr>
      <w:r>
        <w:rPr/>
        <w:t>C.</w:t>
        <w:tab/>
        <w:t>Pursuant to a Collateral Assignment of Deposit Accounts, Pledge and Security Agreement and Escrow Agreement dated as of __________________, 2001, between Marketer and Enron, Marketer has agreed to deposit into an escrow account for the benefit of Enron all payments due to it from the Generator under the GPA and has granted to Enron a security interest in such escrow account, and has further granted Enron a security interest in the GPA, all in order to secure Marketer's obligations to Enron under the MPA.</w:t>
      </w:r>
    </w:p>
    <w:p>
      <w:pPr>
        <w:pStyle w:val="Normal"/>
        <w:widowControl/>
        <w:jc w:val="both"/>
        <w:rPr/>
      </w:pPr>
      <w:r>
        <w:rPr/>
      </w:r>
    </w:p>
    <w:p>
      <w:pPr>
        <w:pStyle w:val="Normal"/>
        <w:widowControl/>
        <w:numPr>
          <w:ilvl w:val="0"/>
          <w:numId w:val="0"/>
        </w:numPr>
        <w:jc w:val="center"/>
        <w:outlineLvl w:val="0"/>
        <w:rPr>
          <w:b/>
        </w:rPr>
      </w:pPr>
      <w:r>
        <w:rPr>
          <w:b/>
        </w:rPr>
        <w:t>Agreement</w:t>
      </w:r>
    </w:p>
    <w:p>
      <w:pPr>
        <w:pStyle w:val="Normal"/>
        <w:widowControl/>
        <w:jc w:val="both"/>
        <w:rPr/>
      </w:pPr>
      <w:r>
        <w:rPr/>
      </w:r>
    </w:p>
    <w:p>
      <w:pPr>
        <w:pStyle w:val="Normal"/>
        <w:widowControl/>
        <w:ind w:firstLine="720" w:end="0"/>
        <w:jc w:val="both"/>
        <w:rPr/>
      </w:pPr>
      <w:r>
        <w:rPr/>
        <w:t>NOW THEREFORE, Generator consents and agrees as follows:</w:t>
      </w:r>
    </w:p>
    <w:p>
      <w:pPr>
        <w:pStyle w:val="Normal"/>
        <w:widowControl/>
        <w:jc w:val="both"/>
        <w:rPr/>
      </w:pPr>
      <w:r>
        <w:rPr/>
      </w:r>
    </w:p>
    <w:p>
      <w:pPr>
        <w:pStyle w:val="Normal"/>
        <w:widowControl/>
        <w:ind w:firstLine="720" w:end="0"/>
        <w:jc w:val="both"/>
        <w:rPr/>
      </w:pPr>
      <w:r>
        <w:rPr/>
        <w:fldChar w:fldCharType="begin"/>
      </w:r>
      <w:r>
        <w:rPr/>
        <w:instrText xml:space="preserve"> SEQ ParaNumbers2_0 \* ARABIC </w:instrText>
      </w:r>
      <w:r>
        <w:rPr/>
        <w:fldChar w:fldCharType="separate"/>
      </w:r>
      <w:r>
        <w:rPr/>
        <w:t>1</w:t>
      </w:r>
      <w:r>
        <w:rPr/>
        <w:fldChar w:fldCharType="end"/>
      </w:r>
      <w:r>
        <w:rPr/>
        <w:t>.</w:t>
        <w:tab/>
      </w:r>
      <w:r>
        <w:rPr>
          <w:u w:val="single"/>
        </w:rPr>
        <w:t>Consent to Collateral Assignment</w:t>
      </w:r>
      <w:r>
        <w:rPr/>
        <w:t>.  Upon the terms and conditions set forth below, and at the request of Enron, Generator acknowledges and consents to the collateral assignment and grant referred to in Recital C above.</w:t>
      </w:r>
    </w:p>
    <w:p>
      <w:pPr>
        <w:pStyle w:val="Normal"/>
        <w:widowControl/>
        <w:jc w:val="both"/>
        <w:rPr/>
      </w:pPr>
      <w:r>
        <w:rPr/>
      </w:r>
    </w:p>
    <w:p>
      <w:pPr>
        <w:pStyle w:val="Normal"/>
        <w:widowControl/>
        <w:ind w:firstLine="720" w:end="0"/>
        <w:jc w:val="both"/>
        <w:rPr/>
      </w:pPr>
      <w:r>
        <w:rPr/>
        <w:fldChar w:fldCharType="begin"/>
      </w:r>
      <w:r>
        <w:rPr/>
        <w:instrText xml:space="preserve"> SEQ ParaNumbers2_0 \* ARABIC </w:instrText>
      </w:r>
      <w:r>
        <w:rPr/>
        <w:fldChar w:fldCharType="separate"/>
      </w:r>
      <w:r>
        <w:rPr/>
        <w:t>2</w:t>
      </w:r>
      <w:r>
        <w:rPr/>
        <w:fldChar w:fldCharType="end"/>
      </w:r>
      <w:r>
        <w:rPr/>
        <w:t>.</w:t>
        <w:tab/>
      </w:r>
      <w:r>
        <w:rPr>
          <w:u w:val="single"/>
        </w:rPr>
        <w:t>Enron's Right to Cure</w:t>
      </w:r>
      <w:r>
        <w:rPr/>
        <w:t>.  Generator agrees to use its best efforts to simultaneously deliver to Enron duplicates or copies of all notices of default delivered to Marketer under the GPA; provided, however, that failure of Generator to deliver such documents shall not affect the rights nor increase the liabilities of Generator under the GPA.  Enron has the right to cure or to cause to be cured Marketer's default under, or breach of, the GPA.  Generator agrees to accept performance by Enron without penalty or additional fees or other consideration.</w:t>
      </w:r>
    </w:p>
    <w:p>
      <w:pPr>
        <w:pStyle w:val="Normal"/>
        <w:widowControl/>
        <w:jc w:val="both"/>
        <w:rPr/>
      </w:pPr>
      <w:r>
        <w:rPr/>
      </w:r>
    </w:p>
    <w:p>
      <w:pPr>
        <w:pStyle w:val="Normal"/>
        <w:widowControl/>
        <w:ind w:firstLine="720" w:end="0"/>
        <w:jc w:val="both"/>
        <w:rPr/>
      </w:pPr>
      <w:r>
        <w:rPr/>
        <w:fldChar w:fldCharType="begin"/>
      </w:r>
      <w:r>
        <w:rPr/>
        <w:instrText xml:space="preserve"> SEQ ParaNumbers2_0 \* ARABIC </w:instrText>
      </w:r>
      <w:r>
        <w:rPr/>
        <w:fldChar w:fldCharType="separate"/>
      </w:r>
      <w:r>
        <w:rPr/>
        <w:t>3</w:t>
      </w:r>
      <w:r>
        <w:rPr/>
        <w:fldChar w:fldCharType="end"/>
      </w:r>
      <w:r>
        <w:rPr/>
        <w:t>.</w:t>
        <w:tab/>
      </w:r>
      <w:r>
        <w:rPr>
          <w:u w:val="single"/>
        </w:rPr>
        <w:t>Procedures for Cancellation</w:t>
      </w:r>
      <w:r>
        <w:rPr/>
        <w:t>.  Generator will not cancel or terminate the GPA without giving Enron notice of Marketer's default as provided in Paragraph 2 and an opportunity to cure as provided in this Paragraph 3.  Generator will not consent to or accept any cancellation or termination by Marketer of the GPA without the prior written consent of Enron.  Generator will not cancel or terminate the GPA if Enron cures, or commences action to cure, Marketer's defaults under the GPA within five (5) days after receiving notice of Generator's intent to cancel or terminate.  If Enron must foreclose its security interest in the GPA in order to cure a breach or default of Marketer, Generator will not cancel or terminate the GPA if Enron declares Marketer in default and Enron commences foreclosure proceedings against Marketer or the ownership interests in the Marketer within ____ days of such declaration of default.  If Enron is prevented by any court order or court proceeding or stay from curing the default, or from commencing or prosecuting such foreclosure proceedings, Generator will not cancel or terminate the GPA if Enron promptly pursues either relief from the stay or such court order, or such other remedies as Enron may determine in good faith to be appropriate under the circumstances.</w:t>
      </w:r>
    </w:p>
    <w:p>
      <w:pPr>
        <w:pStyle w:val="Normal"/>
        <w:widowControl/>
        <w:jc w:val="both"/>
        <w:rPr/>
      </w:pPr>
      <w:r>
        <w:rPr/>
      </w:r>
    </w:p>
    <w:p>
      <w:pPr>
        <w:pStyle w:val="Normal"/>
        <w:widowControl/>
        <w:ind w:firstLine="720" w:end="0"/>
        <w:jc w:val="both"/>
        <w:rPr/>
      </w:pPr>
      <w:r>
        <w:rPr/>
        <w:fldChar w:fldCharType="begin"/>
      </w:r>
      <w:r>
        <w:rPr/>
        <w:instrText xml:space="preserve"> SEQ ParaNumbers2_0 \* ARABIC </w:instrText>
      </w:r>
      <w:r>
        <w:rPr/>
        <w:fldChar w:fldCharType="separate"/>
      </w:r>
      <w:r>
        <w:rPr/>
        <w:t>4</w:t>
      </w:r>
      <w:r>
        <w:rPr/>
        <w:fldChar w:fldCharType="end"/>
      </w:r>
      <w:r>
        <w:rPr/>
        <w:t>.</w:t>
        <w:tab/>
      </w:r>
      <w:r>
        <w:rPr>
          <w:u w:val="single"/>
        </w:rPr>
        <w:t>Amendment of GPA</w:t>
      </w:r>
      <w:r>
        <w:rPr/>
        <w:t>.  Generator will not, without prior written notification to Enron, amend or modify, or agree with Marketer to terminate, the GPA.</w:t>
      </w:r>
    </w:p>
    <w:p>
      <w:pPr>
        <w:pStyle w:val="Normal"/>
        <w:widowControl/>
        <w:jc w:val="both"/>
        <w:rPr/>
      </w:pPr>
      <w:r>
        <w:rPr/>
      </w:r>
    </w:p>
    <w:p>
      <w:pPr>
        <w:pStyle w:val="Normal"/>
        <w:widowControl/>
        <w:ind w:firstLine="720" w:end="0"/>
        <w:jc w:val="both"/>
        <w:rPr/>
      </w:pPr>
      <w:r>
        <w:rPr/>
        <w:fldChar w:fldCharType="begin"/>
      </w:r>
      <w:r>
        <w:rPr/>
        <w:instrText xml:space="preserve"> SEQ ParaNumbers2_0 \* ARABIC </w:instrText>
      </w:r>
      <w:r>
        <w:rPr/>
        <w:fldChar w:fldCharType="separate"/>
      </w:r>
      <w:r>
        <w:rPr/>
        <w:t>5</w:t>
      </w:r>
      <w:r>
        <w:rPr/>
        <w:fldChar w:fldCharType="end"/>
      </w:r>
      <w:r>
        <w:rPr/>
        <w:t>.</w:t>
        <w:tab/>
      </w:r>
      <w:r>
        <w:rPr>
          <w:u w:val="single"/>
        </w:rPr>
        <w:t>Further Assignment</w:t>
      </w:r>
      <w:r>
        <w:rPr/>
        <w:t>.  Subject to the consent of Generator (which consent will not be unreasonably withheld or delayed), Enron shall have the right to further assign Marketer's and Enron's right, title and interest under the GPA.  Generator agrees that its consent to any assignment will not be conditioned upon the payment of any penalty, fees or other consideration other than the payments and obligations set forth in the Generator Agreements.</w:t>
      </w:r>
    </w:p>
    <w:p>
      <w:pPr>
        <w:pStyle w:val="Normal"/>
        <w:widowControl/>
        <w:jc w:val="both"/>
        <w:rPr/>
      </w:pPr>
      <w:r>
        <w:rPr/>
      </w:r>
    </w:p>
    <w:p>
      <w:pPr>
        <w:pStyle w:val="Normal"/>
        <w:widowControl/>
        <w:tabs>
          <w:tab w:val="clear" w:pos="720"/>
          <w:tab w:val="left" w:pos="-1440" w:leader="none"/>
        </w:tabs>
        <w:jc w:val="both"/>
        <w:rPr/>
      </w:pPr>
      <w:r>
        <w:rPr/>
        <w:tab/>
        <w:t>6.</w:t>
        <w:tab/>
      </w:r>
      <w:r>
        <w:rPr>
          <w:u w:val="single"/>
        </w:rPr>
        <w:t>Bankruptcy</w:t>
      </w:r>
      <w:r>
        <w:rPr/>
        <w:t xml:space="preserve">.  Generator agrees that, in the event the GPA is terminated or rejected by reason of or in connection with the bankruptcy of Marketer or by reason of the rejection of the GPA Agreement by Marketer or its representative, then Generator will, at the option of Enron, enter into a new agreement with Enron or its designee having terms identical to the terms of such GPA (and all references in this Consent and Agreement to such </w:t>
      </w:r>
      <w:r>
        <w:rPr>
          <w:rFonts w:cs="WP TypographicSymbols" w:ascii="WP TypographicSymbols" w:hAnsi="WP TypographicSymbols"/>
        </w:rPr>
        <w:t>A</w:t>
      </w:r>
      <w:r>
        <w:rPr/>
        <w:t>GPA</w:t>
      </w:r>
      <w:r>
        <w:rPr>
          <w:rFonts w:cs="WP TypographicSymbols" w:ascii="WP TypographicSymbols" w:hAnsi="WP TypographicSymbols"/>
        </w:rPr>
        <w:t>@</w:t>
      </w:r>
      <w:r>
        <w:rPr/>
        <w:t xml:space="preserve"> shall be deemed also to refer to such new GPA), provided that Enron (i) upon such assumption performs the Marketer</w:t>
      </w:r>
      <w:r>
        <w:rPr>
          <w:rFonts w:cs="WP TypographicSymbols" w:ascii="WP TypographicSymbols" w:hAnsi="WP TypographicSymbols"/>
        </w:rPr>
        <w:t>=</w:t>
      </w:r>
      <w:r>
        <w:rPr/>
        <w:t>s obligations under  such GPA in accordance with its terms and (ii) cures or causes to be cured any defaults by the Marketer under the GPA continuing as of the date of such substitution which are susceptible of being cured.</w:t>
      </w:r>
    </w:p>
    <w:p>
      <w:pPr>
        <w:pStyle w:val="Normal"/>
        <w:widowControl/>
        <w:jc w:val="both"/>
        <w:rPr/>
      </w:pPr>
      <w:r>
        <w:rPr/>
      </w:r>
    </w:p>
    <w:p>
      <w:pPr>
        <w:pStyle w:val="Normal"/>
        <w:widowControl/>
        <w:ind w:firstLine="720" w:end="0"/>
        <w:jc w:val="both"/>
        <w:rPr/>
      </w:pPr>
      <w:r>
        <w:rPr/>
        <w:t>7.</w:t>
        <w:tab/>
      </w:r>
      <w:r>
        <w:rPr>
          <w:u w:val="single"/>
        </w:rPr>
        <w:t>Payments to Special Account</w:t>
      </w:r>
      <w:r>
        <w:rPr/>
        <w:t>.  Generator and Marketer agree that, until they receive written notice from Enron, designated a "Revocation of Irrevocable Direction of Payment Letter", indicating all of Marketer's obligations under the MPA have been fully satisfied, Generator will make all payments due to Marketer under the GPA directly to the account designated by the Marketer in a written notice designated as an "Irrevocable Direction of Payment".</w:t>
      </w:r>
    </w:p>
    <w:p>
      <w:pPr>
        <w:pStyle w:val="Normal"/>
        <w:widowControl/>
        <w:jc w:val="both"/>
        <w:rPr/>
      </w:pPr>
      <w:r>
        <w:rPr/>
      </w:r>
    </w:p>
    <w:p>
      <w:pPr>
        <w:pStyle w:val="Normal"/>
        <w:widowControl/>
        <w:ind w:firstLine="720" w:end="0"/>
        <w:jc w:val="both"/>
        <w:rPr/>
      </w:pPr>
      <w:r>
        <w:rPr/>
        <w:t>8.</w:t>
        <w:tab/>
      </w:r>
      <w:r>
        <w:rPr>
          <w:u w:val="single"/>
        </w:rPr>
        <w:t>No Recourse Liability</w:t>
      </w:r>
      <w:r>
        <w:rPr/>
        <w:t>.  Generator acknowledges that the Marketer shall remain liable to Generator for all obligations of the Marketer under the GPA.  Generator agrees that except as otherwise expressly provided in this Consent and Agreement (i) it shall look to the Marketer for the performance of such obligations and (ii) it shall remain obligated to the Marketer to perform all of the Generator's obligations under the GPA upon the terms and conditions set forth in the GPA.</w:t>
      </w:r>
    </w:p>
    <w:p>
      <w:pPr>
        <w:pStyle w:val="Normal"/>
        <w:widowControl/>
        <w:jc w:val="both"/>
        <w:rPr/>
      </w:pPr>
      <w:r>
        <w:rPr/>
      </w:r>
    </w:p>
    <w:p>
      <w:pPr>
        <w:pStyle w:val="Normal"/>
        <w:widowControl/>
        <w:ind w:firstLine="720" w:end="0"/>
        <w:jc w:val="both"/>
        <w:rPr/>
      </w:pPr>
      <w:r>
        <w:rPr/>
        <w:t>9.</w:t>
        <w:tab/>
      </w:r>
      <w:r>
        <w:rPr>
          <w:u w:val="single"/>
        </w:rPr>
        <w:t>Representations and Warranties</w:t>
      </w:r>
      <w:r>
        <w:rPr/>
        <w:t>.  Generator hereby represents and warrants that:</w:t>
      </w:r>
    </w:p>
    <w:p>
      <w:pPr>
        <w:pStyle w:val="Normal"/>
        <w:widowControl/>
        <w:jc w:val="both"/>
        <w:rPr/>
      </w:pPr>
      <w:r>
        <w:rPr/>
      </w:r>
    </w:p>
    <w:p>
      <w:pPr>
        <w:pStyle w:val="Normal"/>
        <w:widowControl/>
        <w:tabs>
          <w:tab w:val="clear" w:pos="720"/>
          <w:tab w:val="left" w:pos="-1440" w:leader="none"/>
        </w:tabs>
        <w:ind w:hanging="720" w:start="1440" w:end="0"/>
        <w:jc w:val="both"/>
        <w:rPr/>
      </w:pPr>
      <w:r>
        <w:rPr/>
        <w:t>(a)</w:t>
        <w:tab/>
        <w:t>the execution, delivery and performance by Generator of the GPA and this Consent and Agreement have been duly authorized by all necessary corporate action and do not and will not require any further consents or approvals which have not been obtained, and to the best of Generator's knowledge, will not violate any provision of any law, regulation, order, judgment, injunction or similar matters or breach any agreement presently in effect with respect to or binding on Generator;</w:t>
      </w:r>
    </w:p>
    <w:p>
      <w:pPr>
        <w:pStyle w:val="Normal"/>
        <w:widowControl/>
        <w:jc w:val="both"/>
        <w:rPr/>
      </w:pPr>
      <w:r>
        <w:rPr/>
      </w:r>
    </w:p>
    <w:p>
      <w:pPr>
        <w:pStyle w:val="Normal"/>
        <w:widowControl/>
        <w:tabs>
          <w:tab w:val="clear" w:pos="720"/>
          <w:tab w:val="left" w:pos="-1440" w:leader="none"/>
        </w:tabs>
        <w:ind w:hanging="720" w:start="1440" w:end="0"/>
        <w:jc w:val="both"/>
        <w:rPr/>
      </w:pPr>
      <w:r>
        <w:rPr/>
        <w:t>(b)</w:t>
        <w:tab/>
        <w:t>this Consent and Agreement and the GPA are legal, valid and binding obligations of Generator enforceable against Generator;</w:t>
      </w:r>
    </w:p>
    <w:p>
      <w:pPr>
        <w:pStyle w:val="Normal"/>
        <w:widowControl/>
        <w:jc w:val="both"/>
        <w:rPr/>
      </w:pPr>
      <w:r>
        <w:rPr/>
      </w:r>
    </w:p>
    <w:p>
      <w:pPr>
        <w:pStyle w:val="Normal"/>
        <w:widowControl/>
        <w:tabs>
          <w:tab w:val="clear" w:pos="720"/>
          <w:tab w:val="left" w:pos="-1440" w:leader="none"/>
        </w:tabs>
        <w:ind w:hanging="720" w:start="1440" w:end="0"/>
        <w:jc w:val="both"/>
        <w:rPr/>
      </w:pPr>
      <w:r>
        <w:rPr/>
        <w:t>(c)</w:t>
        <w:tab/>
        <w:t>all governmental approvals necessary for the execution, delivery and performance by Generator of its obligations under the GPA have been obtained and are in full force and effect;</w:t>
      </w:r>
    </w:p>
    <w:p>
      <w:pPr>
        <w:pStyle w:val="Normal"/>
        <w:widowControl/>
        <w:jc w:val="both"/>
        <w:rPr/>
      </w:pPr>
      <w:r>
        <w:rPr/>
      </w:r>
    </w:p>
    <w:p>
      <w:pPr>
        <w:pStyle w:val="Normal"/>
        <w:widowControl/>
        <w:tabs>
          <w:tab w:val="clear" w:pos="720"/>
          <w:tab w:val="left" w:pos="-1440" w:leader="none"/>
        </w:tabs>
        <w:ind w:hanging="720" w:start="1440" w:end="0"/>
        <w:jc w:val="both"/>
        <w:rPr/>
      </w:pPr>
      <w:r>
        <w:rPr/>
        <w:t>(d)</w:t>
        <w:tab/>
        <w:t>as of the date hereof, the GPA is in full force and effect and has not been amended, supplemented or modified; and</w:t>
      </w:r>
    </w:p>
    <w:p>
      <w:pPr>
        <w:pStyle w:val="Normal"/>
        <w:widowControl/>
        <w:jc w:val="both"/>
        <w:rPr/>
      </w:pPr>
      <w:r>
        <w:rPr/>
      </w:r>
    </w:p>
    <w:p>
      <w:pPr>
        <w:pStyle w:val="Normal"/>
        <w:widowControl/>
        <w:tabs>
          <w:tab w:val="clear" w:pos="720"/>
          <w:tab w:val="left" w:pos="-1440" w:leader="none"/>
        </w:tabs>
        <w:ind w:hanging="720" w:start="1440" w:end="0"/>
        <w:jc w:val="both"/>
        <w:rPr/>
      </w:pPr>
      <w:r>
        <w:rPr/>
        <w:t>[(e)</w:t>
        <w:tab/>
        <w:t>to the best of Generator's knowledge, Marketer has fulfilled all of its obligations under the GPA and there are no breaches or unsatisfied conditions presently existing (or which would exist after the passage of time and/or giving of notice) under the GPA][use only if the GPA was in effect prior to date of this assignment].</w:t>
      </w:r>
    </w:p>
    <w:p>
      <w:pPr>
        <w:pStyle w:val="Normal"/>
        <w:widowControl/>
        <w:jc w:val="both"/>
        <w:rPr/>
      </w:pPr>
      <w:r>
        <w:rPr/>
      </w:r>
    </w:p>
    <w:p>
      <w:pPr>
        <w:pStyle w:val="Normal"/>
        <w:widowControl/>
        <w:ind w:firstLine="720" w:end="0"/>
        <w:jc w:val="both"/>
        <w:rPr/>
      </w:pPr>
      <w:r>
        <w:rPr/>
        <w:t>10.</w:t>
        <w:tab/>
      </w:r>
      <w:r>
        <w:rPr>
          <w:u w:val="single"/>
        </w:rPr>
        <w:t>Notices</w:t>
      </w:r>
      <w:r>
        <w:rPr/>
        <w:t>.  All notices required or permitted hereunder shall be in writing and shall be effective (a) upon receipt if hand delivered, (b) upon telephonic verification of receipt if sent by facsimile and (c) if otherwise delivered, upon the earlier of receipt or two (2) banking days after being sent by registered or certified mail, return receipt required, with proper postage affixed thereto, or by private courier or delivery service with charges prepaid and addressed as specified below:</w:t>
      </w:r>
    </w:p>
    <w:p>
      <w:pPr>
        <w:pStyle w:val="Normal"/>
        <w:widowControl/>
        <w:ind w:firstLine="3600" w:end="0"/>
        <w:jc w:val="both"/>
        <w:rPr/>
      </w:pPr>
      <w:r>
        <w:rPr/>
      </w:r>
    </w:p>
    <w:p>
      <w:pPr>
        <w:pStyle w:val="Normal"/>
        <w:widowControl/>
        <w:ind w:firstLine="3600" w:end="0"/>
        <w:jc w:val="both"/>
        <w:rPr/>
      </w:pPr>
      <w:r>
        <w:rPr/>
        <w:t>If to Generator:</w:t>
      </w:r>
    </w:p>
    <w:p>
      <w:pPr>
        <w:pStyle w:val="Normal"/>
        <w:widowControl/>
        <w:jc w:val="both"/>
        <w:rPr/>
      </w:pPr>
      <w:r>
        <w:rPr/>
      </w:r>
    </w:p>
    <w:p>
      <w:pPr>
        <w:pStyle w:val="Normal"/>
        <w:keepNext w:val="true"/>
        <w:keepLines/>
        <w:widowControl/>
        <w:ind w:firstLine="3600" w:end="0"/>
        <w:jc w:val="both"/>
        <w:rPr/>
      </w:pPr>
      <w:r>
        <w:rPr/>
      </w:r>
    </w:p>
    <w:p>
      <w:pPr>
        <w:pStyle w:val="Normal"/>
        <w:keepNext w:val="true"/>
        <w:keepLines/>
        <w:widowControl/>
        <w:ind w:firstLine="3600" w:end="0"/>
        <w:jc w:val="both"/>
        <w:rPr/>
      </w:pPr>
      <w:r>
        <w:rPr/>
      </w:r>
    </w:p>
    <w:p>
      <w:pPr>
        <w:pStyle w:val="Normal"/>
        <w:keepNext w:val="true"/>
        <w:keepLines/>
        <w:widowControl/>
        <w:ind w:firstLine="3600" w:end="0"/>
        <w:jc w:val="both"/>
        <w:rPr/>
      </w:pPr>
      <w:r>
        <w:rPr/>
      </w:r>
    </w:p>
    <w:p>
      <w:pPr>
        <w:pStyle w:val="Normal"/>
        <w:keepNext w:val="true"/>
        <w:keepLines/>
        <w:widowControl/>
        <w:ind w:firstLine="3600" w:end="0"/>
        <w:jc w:val="both"/>
        <w:rPr/>
      </w:pPr>
      <w:r>
        <w:rPr/>
        <w:t>If to Enron:</w:t>
      </w:r>
    </w:p>
    <w:p>
      <w:pPr>
        <w:pStyle w:val="Normal"/>
        <w:keepNext w:val="true"/>
        <w:keepLines/>
        <w:widowControl/>
        <w:jc w:val="both"/>
        <w:rPr/>
      </w:pPr>
      <w:r>
        <w:rPr/>
      </w:r>
    </w:p>
    <w:p>
      <w:pPr>
        <w:pStyle w:val="Normal"/>
        <w:widowControl/>
        <w:jc w:val="both"/>
        <w:rPr/>
      </w:pPr>
      <w:r>
        <w:rPr/>
      </w:r>
    </w:p>
    <w:p>
      <w:pPr>
        <w:pStyle w:val="Normal"/>
        <w:widowControl/>
        <w:jc w:val="both"/>
        <w:rPr/>
      </w:pPr>
      <w:r>
        <w:rPr/>
      </w:r>
    </w:p>
    <w:p>
      <w:pPr>
        <w:pStyle w:val="Normal"/>
        <w:widowControl/>
        <w:ind w:firstLine="720" w:end="0"/>
        <w:jc w:val="both"/>
        <w:rPr/>
      </w:pPr>
      <w:r>
        <w:rPr/>
        <w:t>11.</w:t>
        <w:tab/>
      </w:r>
      <w:r>
        <w:rPr>
          <w:u w:val="single"/>
        </w:rPr>
        <w:t>Benefits of Agreement</w:t>
      </w:r>
      <w:r>
        <w:rPr/>
        <w:t xml:space="preserve">.  This Consent and Agreement shall be binding upon and benefit Generator, Marketer and Enron, and each of their respective successors, transferees and assigns. </w:t>
      </w:r>
    </w:p>
    <w:p>
      <w:pPr>
        <w:pStyle w:val="Normal"/>
        <w:widowControl/>
        <w:jc w:val="both"/>
        <w:rPr/>
      </w:pPr>
      <w:r>
        <w:rPr/>
      </w:r>
    </w:p>
    <w:p>
      <w:pPr>
        <w:pStyle w:val="Normal"/>
        <w:widowControl/>
        <w:ind w:firstLine="720" w:end="0"/>
        <w:jc w:val="both"/>
        <w:rPr/>
      </w:pPr>
      <w:r>
        <w:rPr/>
        <w:t>12.</w:t>
        <w:tab/>
      </w:r>
      <w:r>
        <w:rPr>
          <w:u w:val="single"/>
        </w:rPr>
        <w:t>Termination or Amendment</w:t>
      </w:r>
      <w:r>
        <w:rPr/>
        <w:t>.  No termination, amendment, variation or waiver of any provision of this Consent and Agreement shall be effective unless in writing and signed by Generator and Enron.</w:t>
      </w:r>
    </w:p>
    <w:p>
      <w:pPr>
        <w:pStyle w:val="Normal"/>
        <w:widowControl/>
        <w:jc w:val="both"/>
        <w:rPr/>
      </w:pPr>
      <w:r>
        <w:rPr/>
      </w:r>
    </w:p>
    <w:p>
      <w:pPr>
        <w:pStyle w:val="Normal"/>
        <w:widowControl/>
        <w:ind w:firstLine="720" w:end="0"/>
        <w:jc w:val="both"/>
        <w:rPr/>
      </w:pPr>
      <w:r>
        <w:rPr/>
        <w:t>13.</w:t>
        <w:tab/>
      </w:r>
      <w:r>
        <w:rPr>
          <w:u w:val="single"/>
        </w:rPr>
        <w:t>GOVERNING LAW</w:t>
      </w:r>
      <w:r>
        <w:rPr/>
        <w:t>.  THIS CONSENT AND AGREEMENT SHALL BE INTERPRETED, GOVERNED AND CONSTRUED UNDER THE LAWS OF THE STATE OF TEXAS AS IF EXECUTED AND TO BE PERFORMED WHOLLY WITHIN THE STATE OF TEXAS, AND ANY ACTION BROUGHT TO ENFORCE OR OTHERWISE INTERPRET THIS CONSENT AND AGREEMENT SHALL BE BROUGHT IN A COURT OF COMPETENT JURISDICTION WITHIN THE STATE OF TEXAS.</w:t>
      </w:r>
    </w:p>
    <w:p>
      <w:pPr>
        <w:pStyle w:val="Normal"/>
        <w:widowControl/>
        <w:jc w:val="both"/>
        <w:rPr/>
      </w:pPr>
      <w:r>
        <w:rPr/>
      </w:r>
    </w:p>
    <w:p>
      <w:pPr>
        <w:sectPr>
          <w:type w:val="nextPage"/>
          <w:pgSz w:w="12240" w:h="15840"/>
          <w:pgMar w:left="1440" w:right="1440" w:gutter="0" w:header="0" w:top="1440" w:footer="0" w:bottom="720"/>
          <w:pgNumType w:fmt="decimal"/>
          <w:formProt w:val="false"/>
          <w:textDirection w:val="lrTb"/>
          <w:docGrid w:type="default" w:linePitch="360" w:charSpace="0"/>
        </w:sectPr>
        <w:pStyle w:val="Normal"/>
        <w:widowControl/>
        <w:ind w:firstLine="720" w:end="0"/>
        <w:jc w:val="both"/>
        <w:rPr/>
      </w:pPr>
      <w:r>
        <w:rPr/>
        <w:t>16.</w:t>
        <w:tab/>
      </w:r>
      <w:r>
        <w:rPr>
          <w:u w:val="single"/>
        </w:rPr>
        <w:t>Generator Not a Party to Security Agreement or other Credit-Related Agreement(s)</w:t>
      </w:r>
      <w:r>
        <w:rPr/>
        <w:t>.  Generator is not a party and has no obligation under any document or agreement referenced herein other than the Gpa, the assignment of which it hereby consents, nor has it reviewed any such documents or agreements.</w:t>
      </w:r>
    </w:p>
    <w:p>
      <w:pPr>
        <w:pStyle w:val="Normal"/>
        <w:widowControl/>
        <w:jc w:val="both"/>
        <w:rPr/>
      </w:pPr>
      <w:r>
        <w:rPr/>
        <w:t>Generator, by its authorized officer, has duly executed this Consent and Agreement as of the date set forth below.</w:t>
      </w:r>
    </w:p>
    <w:p>
      <w:pPr>
        <w:pStyle w:val="Normal"/>
        <w:widowControl/>
        <w:jc w:val="both"/>
        <w:rPr/>
      </w:pPr>
      <w:r>
        <w:rPr/>
      </w:r>
    </w:p>
    <w:p>
      <w:pPr>
        <w:pStyle w:val="Normal"/>
        <w:widowControl/>
        <w:jc w:val="both"/>
        <w:rPr/>
      </w:pPr>
      <w:r>
        <w:rPr/>
      </w:r>
    </w:p>
    <w:p>
      <w:pPr>
        <w:pStyle w:val="Normal"/>
        <w:widowControl/>
        <w:numPr>
          <w:ilvl w:val="0"/>
          <w:numId w:val="0"/>
        </w:numPr>
        <w:jc w:val="both"/>
        <w:outlineLvl w:val="0"/>
        <w:rPr/>
      </w:pPr>
      <w:r>
        <w:rPr/>
        <w:t>Dated as of:   ___________, 2001</w:t>
      </w:r>
    </w:p>
    <w:p>
      <w:pPr>
        <w:pStyle w:val="Normal"/>
        <w:widowControl/>
        <w:jc w:val="both"/>
        <w:rPr/>
      </w:pPr>
      <w:r>
        <w:rPr/>
      </w:r>
    </w:p>
    <w:p>
      <w:pPr>
        <w:pStyle w:val="Normal"/>
        <w:widowControl/>
        <w:jc w:val="both"/>
        <w:rPr/>
      </w:pPr>
      <w:r>
        <w:rPr/>
      </w:r>
    </w:p>
    <w:p>
      <w:pPr>
        <w:pStyle w:val="Normal"/>
        <w:widowControl/>
        <w:jc w:val="both"/>
        <w:rPr/>
      </w:pPr>
      <w:r>
        <w:rPr/>
      </w:r>
    </w:p>
    <w:p>
      <w:pPr>
        <w:pStyle w:val="Normal"/>
        <w:widowControl/>
        <w:numPr>
          <w:ilvl w:val="0"/>
          <w:numId w:val="0"/>
        </w:numPr>
        <w:ind w:firstLine="5040" w:end="0"/>
        <w:jc w:val="both"/>
        <w:outlineLvl w:val="0"/>
        <w:rPr/>
      </w:pPr>
      <w:r>
        <w:rPr/>
        <w:t>[NAME OF GENERATOR]</w:t>
      </w:r>
    </w:p>
    <w:p>
      <w:pPr>
        <w:pStyle w:val="Normal"/>
        <w:widowControl/>
        <w:numPr>
          <w:ilvl w:val="0"/>
          <w:numId w:val="0"/>
        </w:numPr>
        <w:ind w:firstLine="5040" w:end="0"/>
        <w:jc w:val="both"/>
        <w:outlineLvl w:val="0"/>
        <w:rPr/>
      </w:pPr>
      <w:r>
        <w:rPr/>
      </w:r>
    </w:p>
    <w:p>
      <w:pPr>
        <w:pStyle w:val="Normal"/>
        <w:widowControl/>
        <w:numPr>
          <w:ilvl w:val="0"/>
          <w:numId w:val="0"/>
        </w:numPr>
        <w:ind w:firstLine="5040" w:end="0"/>
        <w:jc w:val="both"/>
        <w:outlineLvl w:val="0"/>
        <w:rPr/>
      </w:pPr>
      <w:r>
        <w:rPr/>
      </w:r>
    </w:p>
    <w:p>
      <w:pPr>
        <w:pStyle w:val="Normal"/>
        <w:widowControl/>
        <w:ind w:firstLine="720" w:end="0"/>
        <w:jc w:val="both"/>
        <w:rPr/>
      </w:pPr>
      <w:r>
        <w:rPr/>
      </w:r>
    </w:p>
    <w:p>
      <w:pPr>
        <w:pStyle w:val="Normal"/>
        <w:widowControl/>
        <w:ind w:firstLine="5040" w:end="0"/>
        <w:jc w:val="both"/>
        <w:rPr/>
      </w:pPr>
      <w:r>
        <w:rPr/>
        <w:t>By:</w:t>
        <w:tab/>
        <w:t>__________________________</w:t>
      </w:r>
    </w:p>
    <w:p>
      <w:pPr>
        <w:pStyle w:val="Normal"/>
        <w:widowControl/>
        <w:ind w:firstLine="5040" w:end="0"/>
        <w:jc w:val="both"/>
        <w:rPr/>
      </w:pPr>
      <w:r>
        <w:rPr/>
        <w:t xml:space="preserve">Name: </w:t>
      </w:r>
    </w:p>
    <w:p>
      <w:pPr>
        <w:pStyle w:val="Normal"/>
        <w:widowControl/>
        <w:ind w:firstLine="5040" w:end="0"/>
        <w:jc w:val="both"/>
        <w:rPr/>
      </w:pPr>
      <w:r>
        <w:rPr/>
        <w:t>Title:</w:t>
      </w:r>
    </w:p>
    <w:p>
      <w:pPr>
        <w:pStyle w:val="Normal"/>
        <w:widowControl/>
        <w:rPr/>
      </w:pPr>
      <w:r>
        <w:rPr/>
      </w:r>
      <w:r>
        <w:br w:type="page"/>
      </w:r>
    </w:p>
    <w:p>
      <w:pPr>
        <w:pStyle w:val="Normal"/>
        <w:widowControl/>
        <w:rPr/>
      </w:pPr>
      <w:r>
        <w:rPr/>
      </w:r>
    </w:p>
    <w:p>
      <w:pPr>
        <w:pStyle w:val="Normal"/>
        <w:widowControl/>
        <w:numPr>
          <w:ilvl w:val="0"/>
          <w:numId w:val="0"/>
        </w:numPr>
        <w:outlineLvl w:val="0"/>
        <w:rPr>
          <w:b/>
        </w:rPr>
      </w:pPr>
      <w:r>
        <w:rPr>
          <w:b/>
        </w:rPr>
        <w:t>Accepted and Agreed To:</w:t>
      </w:r>
    </w:p>
    <w:p>
      <w:pPr>
        <w:pStyle w:val="Normal"/>
        <w:widowControl/>
        <w:rPr>
          <w:b/>
        </w:rPr>
      </w:pPr>
      <w:r>
        <w:rPr>
          <w:b/>
        </w:rPr>
      </w:r>
    </w:p>
    <w:p>
      <w:pPr>
        <w:pStyle w:val="Normal"/>
        <w:widowControl/>
        <w:rPr/>
      </w:pPr>
      <w:r>
        <w:rPr/>
        <w:t>[NAME OF MARKETER]</w:t>
      </w:r>
    </w:p>
    <w:p>
      <w:pPr>
        <w:pStyle w:val="Normal"/>
        <w:widowControl/>
        <w:rPr/>
      </w:pPr>
      <w:r>
        <w:rPr/>
      </w:r>
    </w:p>
    <w:p>
      <w:pPr>
        <w:pStyle w:val="Normal"/>
        <w:widowControl/>
        <w:rPr/>
      </w:pPr>
      <w:r>
        <w:rPr/>
      </w:r>
    </w:p>
    <w:p>
      <w:pPr>
        <w:pStyle w:val="Normal"/>
        <w:widowControl/>
        <w:rPr/>
      </w:pPr>
      <w:r>
        <w:rPr/>
      </w:r>
    </w:p>
    <w:p>
      <w:pPr>
        <w:pStyle w:val="Normal"/>
        <w:widowControl/>
        <w:numPr>
          <w:ilvl w:val="0"/>
          <w:numId w:val="0"/>
        </w:numPr>
        <w:outlineLvl w:val="0"/>
        <w:rPr/>
      </w:pPr>
      <w:r>
        <w:rPr/>
        <w:t>By:</w:t>
        <w:tab/>
        <w:t>__________________________</w:t>
      </w:r>
    </w:p>
    <w:p>
      <w:pPr>
        <w:pStyle w:val="Normal"/>
        <w:widowControl/>
        <w:rPr/>
      </w:pPr>
      <w:r>
        <w:rPr/>
        <w:t xml:space="preserve">Name: </w:t>
      </w:r>
    </w:p>
    <w:p>
      <w:pPr>
        <w:pStyle w:val="Normal"/>
        <w:widowControl/>
        <w:rPr/>
      </w:pPr>
      <w:r>
        <w:rPr/>
        <w:t>Title:</w:t>
      </w:r>
    </w:p>
    <w:p>
      <w:pPr>
        <w:pStyle w:val="Normal"/>
        <w:widowControl/>
        <w:rPr/>
      </w:pPr>
      <w:r>
        <w:rPr/>
        <w:t>Date:</w:t>
      </w:r>
    </w:p>
    <w:p>
      <w:pPr>
        <w:pStyle w:val="Normal"/>
        <w:widowControl/>
        <w:rPr/>
      </w:pPr>
      <w:r>
        <w:rPr/>
      </w:r>
    </w:p>
    <w:p>
      <w:pPr>
        <w:pStyle w:val="Normal"/>
        <w:widowControl/>
        <w:numPr>
          <w:ilvl w:val="0"/>
          <w:numId w:val="0"/>
        </w:numPr>
        <w:outlineLvl w:val="0"/>
        <w:rPr/>
      </w:pPr>
      <w:r>
        <w:rPr/>
        <w:t>ENRON NORTH AMERICA CORP.</w:t>
      </w:r>
    </w:p>
    <w:p>
      <w:pPr>
        <w:pStyle w:val="Normal"/>
        <w:widowControl/>
        <w:rPr/>
      </w:pPr>
      <w:r>
        <w:rPr/>
      </w:r>
    </w:p>
    <w:p>
      <w:pPr>
        <w:pStyle w:val="Normal"/>
        <w:widowControl/>
        <w:rPr/>
      </w:pPr>
      <w:r>
        <w:rPr/>
      </w:r>
    </w:p>
    <w:p>
      <w:pPr>
        <w:pStyle w:val="Normal"/>
        <w:widowControl/>
        <w:numPr>
          <w:ilvl w:val="0"/>
          <w:numId w:val="0"/>
        </w:numPr>
        <w:outlineLvl w:val="0"/>
        <w:rPr/>
      </w:pPr>
      <w:r>
        <w:rPr/>
        <w:t>By:</w:t>
        <w:tab/>
        <w:t>__________________________</w:t>
      </w:r>
    </w:p>
    <w:p>
      <w:pPr>
        <w:pStyle w:val="Normal"/>
        <w:widowControl/>
        <w:rPr/>
      </w:pPr>
      <w:r>
        <w:rPr/>
        <w:t xml:space="preserve">Name: </w:t>
      </w:r>
    </w:p>
    <w:p>
      <w:pPr>
        <w:pStyle w:val="Normal"/>
        <w:widowControl/>
        <w:rPr/>
      </w:pPr>
      <w:r>
        <w:rPr/>
        <w:t>Title:</w:t>
      </w:r>
    </w:p>
    <w:p>
      <w:pPr>
        <w:pStyle w:val="Normal"/>
        <w:widowControl/>
        <w:rPr/>
      </w:pPr>
      <w:r>
        <w:rPr/>
        <w:t>Date:</w:t>
      </w:r>
    </w:p>
    <w:sectPr>
      <w:type w:val="nextPage"/>
      <w:pgSz w:w="12240" w:h="15840"/>
      <w:pgMar w:left="1440" w:right="1440" w:gutter="0" w:header="0" w:top="1440" w:footer="0" w:bottom="72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ahoma">
    <w:charset w:val="00" w:characterSet="windows-1252"/>
    <w:family w:val="swiss"/>
    <w:pitch w:val="variable"/>
  </w:font>
  <w:font w:name="WP TypographicSymbols">
    <w:charset w:val="00" w:characterSet="windows-1252"/>
    <w:family w:val="auto"/>
    <w:pitch w:val="variable"/>
  </w:font>
</w:fonts>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bidi="ar-SA" w:eastAsia="zh-CN"/>
    </w:rPr>
  </w:style>
  <w:style w:type="character" w:styleId="DefaultParagraphFont">
    <w:name w:val="Default Paragraph Font"/>
    <w:qFormat/>
    <w:rPr/>
  </w:style>
  <w:style w:type="character" w:styleId="FootnoteCharacters">
    <w:name w:val="Foot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DocumentMap">
    <w:name w:val="Document Map"/>
    <w:basedOn w:val="Normal"/>
    <w:qFormat/>
    <w:pPr>
      <w:shd w:fill="000080" w:val="clear"/>
    </w:pPr>
    <w:rPr>
      <w:rFonts w:ascii="Tahoma" w:hAnsi="Tahoma" w:cs="Tahoma"/>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2001-08-15T23:12:00Z</dcterms:created>
  <dc:creator>tmccull</dc:creator>
  <dc:description/>
  <dc:language>en-CA</dc:language>
  <cp:lastModifiedBy>Travis McCullough</cp:lastModifiedBy>
  <cp:lastPrinted>2001-08-15T20:42:00Z</cp:lastPrinted>
  <dcterms:modified xsi:type="dcterms:W3CDTF">2001-08-15T23:12:00Z</dcterms:modified>
  <cp:revision>3</cp:revision>
  <dc:subject/>
  <dc:title> </dc:title>
</cp:coreProperties>
</file>