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firstLine="360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92 FERC ¶  61, 219</w:t>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bCs/>
          <w:color w:val="000000"/>
          <w:sz w:val="26"/>
          <w:szCs w:val="26"/>
        </w:rPr>
        <w:t xml:space="preserve">                                              </w:t>
      </w:r>
      <w:r>
        <w:rPr>
          <w:rFonts w:eastAsia="Times New Roman" w:cs="Times New Roman" w:ascii="Times New Roman" w:hAnsi="Times New Roman"/>
          <w:color w:val="000000"/>
          <w:sz w:val="26"/>
          <w:szCs w:val="26"/>
        </w:rPr>
        <w:tab/>
        <w:t>UNITED STATES OF AMERICA</w:t>
        <w:tab/>
      </w:r>
    </w:p>
    <w:p>
      <w:pPr>
        <w:pStyle w:val="Normal"/>
        <w:bidi w:val="0"/>
        <w:spacing w:lineRule="auto" w:line="240" w:before="0" w:after="0"/>
        <w:ind w:hanging="0" w:start="0" w:end="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FEDERAL ENERGY REGULATORY COMMISSION</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Before Commissioners:   James J. Hoecker, Chairman;</w:t>
      </w:r>
    </w:p>
    <w:p>
      <w:pPr>
        <w:pStyle w:val="Normal"/>
        <w:bidi w:val="0"/>
        <w:spacing w:lineRule="auto" w:line="240" w:before="0" w:after="0"/>
        <w:ind w:firstLine="216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William L. Massey, Linda Breathitt,  </w:t>
      </w:r>
    </w:p>
    <w:p>
      <w:pPr>
        <w:pStyle w:val="Normal"/>
        <w:bidi w:val="0"/>
        <w:spacing w:lineRule="auto" w:line="240" w:before="0" w:after="0"/>
        <w:ind w:firstLine="216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and Curt Hébert, Jr.</w:t>
        <w:tab/>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Williams Energy Marketing &amp; Trading Company                   Docket No. GP00-1-000</w:t>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ab/>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ORDER ON REQUEST FOR DECLARATORY ORDER</w:t>
      </w:r>
    </w:p>
    <w:p>
      <w:pPr>
        <w:pStyle w:val="Normal"/>
        <w:bidi w:val="0"/>
        <w:spacing w:lineRule="auto" w:line="240" w:before="0" w:after="0"/>
        <w:ind w:hanging="0" w:start="0" w:end="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AND GRANTING LIMITED WAIVER</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(Issued September 15, 2000)</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On March 14, 2000, Williams Energy Marketing &amp; Trading Company (Williams) filed a request for a declaratory order that the Commission's buy/sell policy does not apply to offshore production area transactions, including those contemplated by the Royalty-In-Kind (RIK) pilot projects initiated by the Minerals Management Service (MMS) of the  United States Department of the Interior.</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For the reasons set forth herein, the Commission is denying Williams' request for a declaratory order that the Commission’s policy prohibiting buy/sell transactions does not apply to Outer Continental Shelf (OCS)  transportation arrangements.  The Commission will grant, however, a limited waiver of the prohibition on buy/sell arrangements and regulations governing capacity releases to the extent necessary to allow the RIK program to operate as envisioned by MMS.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I.  </w:t>
      </w:r>
      <w:r>
        <w:rPr>
          <w:rFonts w:eastAsia="Times New Roman" w:cs="Times New Roman" w:ascii="Times New Roman" w:hAnsi="Times New Roman"/>
          <w:color w:val="000000"/>
          <w:sz w:val="26"/>
          <w:szCs w:val="26"/>
          <w:u w:val="single"/>
        </w:rPr>
        <w:t>BACKGROUND</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A.  </w:t>
      </w:r>
      <w:r>
        <w:rPr>
          <w:rFonts w:eastAsia="Times New Roman" w:cs="Times New Roman" w:ascii="Times New Roman" w:hAnsi="Times New Roman"/>
          <w:color w:val="000000"/>
          <w:sz w:val="26"/>
          <w:szCs w:val="26"/>
          <w:u w:val="single"/>
        </w:rPr>
        <w:t>The MMS' RIK Program</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MMS' RIK program is a pilot program initiated in 1999, designed to examine the potential benefits of the Federal government's  taking its oil and natural gas royalties “in kind”, </w:t>
      </w:r>
      <w:r>
        <w:rPr>
          <w:rFonts w:eastAsia="Times New Roman" w:cs="Times New Roman" w:ascii="Times New Roman" w:hAnsi="Times New Roman"/>
          <w:color w:val="000000"/>
          <w:sz w:val="26"/>
          <w:szCs w:val="26"/>
          <w:u w:val="single"/>
        </w:rPr>
        <w:t>i.e.</w:t>
      </w:r>
      <w:r>
        <w:rPr>
          <w:rFonts w:eastAsia="Times New Roman" w:cs="Times New Roman" w:ascii="Times New Roman" w:hAnsi="Times New Roman"/>
          <w:color w:val="000000"/>
          <w:sz w:val="26"/>
          <w:szCs w:val="26"/>
        </w:rPr>
        <w:t>, as a share of the production from certain offshore federal leases in the Gulf of Mexico, rather than a share of the lessee's proceeds from the sale of the natural gas.  The overall goal of the program is to decrease the Federal government's cost of royalty collection, reduce the administrative burden on industry, and provide greater certainty and accuracy in royalty collection, while realizing full and fair market value for Federal royalties.  Generally, under the RIK program, MMS sells its royalty gas to contractor</w:t>
      </w:r>
      <w:r>
        <w:rPr>
          <w:rFonts w:eastAsia="Times New Roman" w:cs="Times New Roman" w:ascii="Times New Roman" w:hAnsi="Times New Roman"/>
          <w:color w:val="000000"/>
          <w:sz w:val="26"/>
          <w:szCs w:val="26"/>
        </w:rPr>
        <w:t>s at offshore production platform</w:t>
      </w:r>
      <w:r>
        <w:rPr>
          <w:rFonts w:eastAsia="Times New Roman" w:cs="Times New Roman" w:ascii="Times New Roman" w:hAnsi="Times New Roman"/>
          <w:color w:val="000000"/>
          <w:sz w:val="26"/>
          <w:szCs w:val="26"/>
        </w:rPr>
        <w:t>s in exchange for delivery of a percentage of that gas at designated onshore points.  The contractors are se</w:t>
      </w:r>
      <w:r>
        <w:rPr>
          <w:rFonts w:eastAsia="Times New Roman" w:cs="Times New Roman" w:ascii="Times New Roman" w:hAnsi="Times New Roman"/>
          <w:color w:val="000000"/>
          <w:sz w:val="26"/>
          <w:szCs w:val="26"/>
        </w:rPr>
        <w:t>lected through a competitive bidding process.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The specific RIK program cited by Williams seeks to provide a supply of natural gas to the Government Services Administration (GSA) to meet the energy needs of various Federal agencies and facilities, including the Navy, the Bureau of Prisons, the Veterans Administration, and the U. S. Capitol.   In comments submitted in this proceeding, MMS explains that neither it nor GSA has the capability in place to transport production at wellheads in the Gulf of Mexico to a natural gas supply pool from which the various Federal agencies can be served.  To accomplish this transportation, MMS has devised the RIK auction program, under which, in essence, the Federal government's natural gas royalties are traded at the wellhead for natural gas supply pools in a number of locations convenient for GSA.  GSA takes title to the natural gas in these supply pools and then manages its distribution to the Federal burner tip.</w:t>
        <w:tab/>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B.  </w:t>
      </w:r>
      <w:r>
        <w:rPr>
          <w:rFonts w:eastAsia="Times New Roman" w:cs="Times New Roman" w:ascii="Times New Roman" w:hAnsi="Times New Roman"/>
          <w:color w:val="000000"/>
          <w:sz w:val="26"/>
          <w:szCs w:val="26"/>
          <w:u w:val="single"/>
        </w:rPr>
        <w:t>The Buy/Sell Prohibition</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In Order </w:t>
      </w:r>
      <w:r>
        <w:rPr>
          <w:rFonts w:eastAsia="Times New Roman" w:cs="Times New Roman" w:ascii="Times New Roman" w:hAnsi="Times New Roman"/>
          <w:color w:val="000000"/>
          <w:sz w:val="26"/>
          <w:szCs w:val="26"/>
        </w:rPr>
        <w:t xml:space="preserve">No. </w:t>
      </w:r>
      <w:r>
        <w:rPr>
          <w:rFonts w:eastAsia="Times New Roman" w:cs="Times New Roman" w:ascii="Times New Roman" w:hAnsi="Times New Roman"/>
          <w:color w:val="000000"/>
          <w:sz w:val="26"/>
          <w:szCs w:val="26"/>
        </w:rPr>
        <w:t xml:space="preserve">636 </w:t>
      </w:r>
      <w:r>
        <w:rPr>
          <w:rStyle w:val="FootnoteReference"/>
        </w:rPr>
        <w:footnoteReference w:id="2"/>
      </w:r>
      <w:r>
        <w:rPr>
          <w:rFonts w:eastAsia="Times New Roman" w:cs="Times New Roman" w:ascii="Times New Roman" w:hAnsi="Times New Roman"/>
          <w:color w:val="000000"/>
          <w:sz w:val="26"/>
          <w:szCs w:val="26"/>
        </w:rPr>
        <w:t xml:space="preserve"> and companion orders, the Commission prohibited buy/sell arrangements whereby a shipper (usually a marketer or local distribution company (LDC)) would buy gas on behalf of another entity (usually an end-user), ship that gas on a pipeline (and/or the LDC's own system), and resell the gas to the entity at the delivery point (or the burner tip).</w:t>
      </w:r>
      <w:r>
        <w:rPr>
          <w:rFonts w:eastAsia="Times New Roman" w:cs="Times New Roman" w:ascii="Times New Roman" w:hAnsi="Times New Roman"/>
          <w:color w:val="000000"/>
          <w:sz w:val="26"/>
          <w:szCs w:val="26"/>
        </w:rPr>
        <w:t xml:space="preserve">  Order No. 636 describes a buy/sell arrangement as the following:</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720" w:end="0"/>
        <w:jc w:val="start"/>
        <w:rPr/>
      </w:pPr>
      <w:r>
        <w:rPr>
          <w:rFonts w:eastAsia="Times New Roman" w:cs="Times New Roman" w:ascii="Times New Roman" w:hAnsi="Times New Roman"/>
          <w:color w:val="000000"/>
          <w:sz w:val="26"/>
          <w:szCs w:val="26"/>
        </w:rPr>
        <w:t>[A]n LDC will purchase gas in the production area from an end user or a merchant designated by an end user.  The LDC will ship the gas on its own firm capacity and sell the gas to the end user at the retail delivery point.</w:t>
      </w:r>
      <w:r>
        <w:rPr>
          <w:rStyle w:val="FootnoteReference"/>
        </w:rPr>
        <w:footnoteReference w:id="3"/>
      </w:r>
      <w:r>
        <w:rPr>
          <w:rFonts w:eastAsia="Times New Roman" w:cs="Times New Roman" w:ascii="Times New Roman" w:hAnsi="Times New Roman"/>
          <w:color w:val="000000"/>
          <w:sz w:val="26"/>
          <w:szCs w:val="26"/>
        </w:rPr>
        <w:tab/>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The Commission prohibited buy/sell and similar capacity brokering arrangements to prevent circumvention of the Commission's open-access transportation policy and regulations, which require released capacity to be posted and bid on a nondiscriminatory basis. </w:t>
      </w:r>
      <w:r>
        <w:rPr>
          <w:rStyle w:val="FootnoteReference"/>
        </w:rPr>
        <w:footnoteReference w:id="4"/>
      </w:r>
      <w:r>
        <w:rPr>
          <w:rFonts w:eastAsia="Times New Roman" w:cs="Times New Roman" w:ascii="Times New Roman" w:hAnsi="Times New Roman"/>
          <w:color w:val="000000"/>
          <w:sz w:val="26"/>
          <w:szCs w:val="26"/>
        </w:rPr>
        <w:t xml:space="preserve">  The Commission's policy against buy/sell transactions achieves this end by prohibiting an end-user from making arrangements to sell its gas to a marketer or LDC that has reserved firm capacity on an interstate pipeline, so that the marketer or LDC will hold title and therefore can use its reserved pipeline capacity to transport the gas and then resell the gas to the end-user.  Without the Commission's policy against buy/sell arrangements, shippers would be able to arrange for firm interstate pipeline capacity without having to compete with other shippers that might place greater value on the capacity.</w:t>
      </w:r>
      <w:r>
        <w:rPr>
          <w:rStyle w:val="FootnoteReference"/>
        </w:rPr>
        <w:footnoteReference w:id="5"/>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600" w:charSpace="32768"/>
        </w:sect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The purpose of the Commission's policy against buy/sell arrangements is similar to that of the </w:t>
      </w:r>
      <w:r>
        <w:rPr>
          <w:rFonts w:eastAsia="Times New Roman" w:cs="Times New Roman" w:ascii="Times New Roman" w:hAnsi="Times New Roman"/>
          <w:color w:val="000000"/>
          <w:sz w:val="26"/>
          <w:szCs w:val="26"/>
        </w:rPr>
        <w:t>"shipper must have title" rule,</w:t>
      </w:r>
      <w:r>
        <w:rPr>
          <w:rStyle w:val="FootnoteReference"/>
        </w:rPr>
        <w:footnoteReference w:id="6"/>
      </w:r>
      <w:r>
        <w:rPr>
          <w:rFonts w:eastAsia="Times New Roman" w:cs="Times New Roman" w:ascii="Times New Roman" w:hAnsi="Times New Roman"/>
          <w:color w:val="000000"/>
          <w:sz w:val="26"/>
          <w:szCs w:val="26"/>
        </w:rPr>
        <w:t xml:space="preserve"> which the Commission adopted in the wake of Order No. 436 </w:t>
      </w:r>
      <w:r>
        <w:rPr>
          <w:rStyle w:val="FootnoteReference"/>
        </w:rPr>
        <w:footnoteReference w:id="7"/>
      </w:r>
      <w:r>
        <w:rPr>
          <w:rFonts w:eastAsia="Times New Roman" w:cs="Times New Roman" w:ascii="Times New Roman" w:hAnsi="Times New Roman"/>
          <w:color w:val="000000"/>
          <w:sz w:val="26"/>
          <w:szCs w:val="26"/>
        </w:rPr>
        <w:t xml:space="preserve"> and reaffirmed in Order No. 636; </w:t>
      </w:r>
      <w:r>
        <w:rPr>
          <w:rFonts w:eastAsia="Times New Roman" w:cs="Times New Roman" w:ascii="Times New Roman" w:hAnsi="Times New Roman"/>
          <w:color w:val="000000"/>
          <w:sz w:val="26"/>
          <w:szCs w:val="26"/>
          <w:u w:val="single"/>
        </w:rPr>
        <w:t>i.e.</w:t>
      </w:r>
      <w:r>
        <w:rPr>
          <w:rFonts w:eastAsia="Times New Roman" w:cs="Times New Roman" w:ascii="Times New Roman" w:hAnsi="Times New Roman"/>
          <w:color w:val="000000"/>
          <w:sz w:val="26"/>
          <w:szCs w:val="26"/>
        </w:rPr>
        <w:t>, having required that pipelines provide transportation service on an open-access basis, the Commission recognized that policy could be frustrated unless there were conditions on shippers' ability to release or broker their reserved pipeline capacity.  Thus, the Commission adopted the "shipper must have title" rule and the ban on buy/sells</w:t>
      </w:r>
      <w:r>
        <w:rPr>
          <w:rFonts w:eastAsia="Times New Roman" w:cs="Times New Roman" w:ascii="Times New Roman" w:hAnsi="Times New Roman"/>
          <w:color w:val="000000"/>
          <w:sz w:val="26"/>
          <w:szCs w:val="26"/>
        </w:rPr>
        <w:t xml:space="preserve"> to prevent circumvention of its open-access policy and regulations.</w:t>
      </w:r>
      <w:r>
        <w:rPr>
          <w:rStyle w:val="FootnoteReference"/>
        </w:rPr>
        <w:footnoteReference w:id="8"/>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In Order No. 637,</w:t>
      </w:r>
      <w:r>
        <w:rPr>
          <w:rStyle w:val="FootnoteReference"/>
        </w:rPr>
        <w:footnoteReference w:id="9"/>
      </w:r>
      <w:r>
        <w:rPr>
          <w:rFonts w:eastAsia="Times New Roman" w:cs="Times New Roman" w:ascii="Times New Roman" w:hAnsi="Times New Roman"/>
          <w:color w:val="000000"/>
          <w:sz w:val="26"/>
          <w:szCs w:val="26"/>
        </w:rPr>
        <w:t xml:space="preserve"> the Commission has continued its policy against buy/sell transactions and its continued commitment to the "shipper must have title" rule.</w:t>
      </w:r>
      <w:r>
        <w:rPr>
          <w:rStyle w:val="FootnoteReference"/>
        </w:rPr>
        <w:footnoteReference w:id="10"/>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The Commission has waived the "shipper must have title" rule only under limited circumstances to accommodate state unbundling proceedings.</w:t>
      </w:r>
      <w:r>
        <w:rPr>
          <w:rStyle w:val="FootnoteReference"/>
        </w:rPr>
        <w:footnoteReference w:id="11"/>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The Commission recently reaffirmed its prohibition against buy/sell arrangements in </w:t>
      </w:r>
      <w:r>
        <w:rPr>
          <w:rFonts w:eastAsia="Times New Roman" w:cs="Times New Roman" w:ascii="Times New Roman" w:hAnsi="Times New Roman"/>
          <w:color w:val="000000"/>
          <w:sz w:val="26"/>
          <w:szCs w:val="26"/>
          <w:u w:val="single"/>
        </w:rPr>
        <w:t>Northern Illinois Gas Co. and Southern California Gas Co.</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NI-Gas/SoCal</w:t>
      </w:r>
      <w:r>
        <w:rPr>
          <w:rFonts w:eastAsia="Times New Roman" w:cs="Times New Roman" w:ascii="Times New Roman" w:hAnsi="Times New Roman"/>
          <w:color w:val="000000"/>
          <w:sz w:val="26"/>
          <w:szCs w:val="26"/>
        </w:rPr>
        <w:t>),</w:t>
      </w:r>
      <w:r>
        <w:rPr>
          <w:rStyle w:val="FootnoteReference"/>
        </w:rPr>
        <w:footnoteReference w:id="12"/>
      </w:r>
      <w:r>
        <w:rPr>
          <w:rFonts w:eastAsia="Times New Roman" w:cs="Times New Roman" w:ascii="Times New Roman" w:hAnsi="Times New Roman"/>
          <w:color w:val="000000"/>
          <w:sz w:val="26"/>
          <w:szCs w:val="26"/>
        </w:rPr>
        <w:t xml:space="preserve"> finding that the proposed off-system hub transactions in that case violated the policy against buy/sell agreements and capacity brokering.  As the rationale for its opposition to buy/sell agreements, the Commission explained in </w:t>
      </w:r>
      <w:r>
        <w:rPr>
          <w:rFonts w:eastAsia="Times New Roman" w:cs="Times New Roman" w:ascii="Times New Roman" w:hAnsi="Times New Roman"/>
          <w:color w:val="000000"/>
          <w:sz w:val="26"/>
          <w:szCs w:val="26"/>
          <w:u w:val="single"/>
        </w:rPr>
        <w:t>NI-Gas/SoCal</w:t>
      </w:r>
      <w:r>
        <w:rPr>
          <w:rFonts w:eastAsia="Times New Roman" w:cs="Times New Roman" w:ascii="Times New Roman" w:hAnsi="Times New Roman"/>
          <w:color w:val="000000"/>
          <w:sz w:val="26"/>
          <w:szCs w:val="26"/>
        </w:rPr>
        <w:t xml:space="preserve"> that permitting shippers with reserved firm interstate pipeline capacity to have their own individual capacity brokering certificates (1) would result in </w:t>
      </w:r>
      <w:r>
        <w:rPr>
          <w:rFonts w:eastAsia="Times New Roman" w:cs="Times New Roman" w:ascii="Times New Roman" w:hAnsi="Times New Roman"/>
          <w:color w:val="000000"/>
          <w:sz w:val="26"/>
          <w:szCs w:val="26"/>
        </w:rPr>
        <w:t>too many participants and different programs for the Commission to oversee; and (2) would undermine the ability of the new capacity release regulations to eliminate the potential for firm capacity holders to discriminate unduly in their assignment of capacity.</w:t>
      </w:r>
      <w:r>
        <w:rPr>
          <w:rStyle w:val="FootnoteReference"/>
        </w:rPr>
        <w:footnoteReference w:id="13"/>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The Commission also emphasized in </w:t>
      </w:r>
      <w:r>
        <w:rPr>
          <w:rFonts w:eastAsia="Times New Roman" w:cs="Times New Roman" w:ascii="Times New Roman" w:hAnsi="Times New Roman"/>
          <w:color w:val="000000"/>
          <w:sz w:val="26"/>
          <w:szCs w:val="26"/>
          <w:u w:val="single"/>
        </w:rPr>
        <w:t>NI-Gas/SoCal</w:t>
      </w:r>
      <w:r>
        <w:rPr>
          <w:rFonts w:eastAsia="Times New Roman" w:cs="Times New Roman" w:ascii="Times New Roman" w:hAnsi="Times New Roman"/>
          <w:color w:val="000000"/>
          <w:sz w:val="26"/>
          <w:szCs w:val="26"/>
        </w:rPr>
        <w:t xml:space="preserve"> that Order No. 636 had not modified the previously existing "shipper must have title" rule, which also was designed to prevent the unauthorized brokering of capacity.</w:t>
      </w:r>
      <w:r>
        <w:rPr>
          <w:rStyle w:val="FootnoteReference"/>
        </w:rPr>
        <w:footnoteReference w:id="14"/>
      </w:r>
      <w:r>
        <w:rPr>
          <w:rFonts w:eastAsia="Times New Roman" w:cs="Times New Roman" w:ascii="Times New Roman" w:hAnsi="Times New Roman"/>
          <w:color w:val="000000"/>
          <w:sz w:val="26"/>
          <w:szCs w:val="26"/>
        </w:rPr>
        <w:t xml:space="preserve">  Having explained that the capacity release regulations should make buy/sell arrangements unnecessary, the Commission stated that no new buy/sells would be permitted after the capacity release mechanism took effect</w:t>
      </w:r>
      <w:r>
        <w:rPr>
          <w:rFonts w:eastAsia="Times New Roman" w:cs="Times New Roman" w:ascii="Times New Roman" w:hAnsi="Times New Roman"/>
          <w:color w:val="000000"/>
          <w:sz w:val="26"/>
          <w:szCs w:val="26"/>
        </w:rPr>
        <w:t>.</w:t>
      </w:r>
      <w:r>
        <w:rPr>
          <w:rStyle w:val="FootnoteReference"/>
        </w:rPr>
        <w:footnoteReference w:id="15"/>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II.  </w:t>
      </w:r>
      <w:r>
        <w:rPr>
          <w:rFonts w:eastAsia="Times New Roman" w:cs="Times New Roman" w:ascii="Times New Roman" w:hAnsi="Times New Roman"/>
          <w:color w:val="000000"/>
          <w:sz w:val="26"/>
          <w:szCs w:val="26"/>
          <w:u w:val="single"/>
        </w:rPr>
        <w:t>WILLIAMS' REQUEST</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Williams requests that the Commission confirm Williams' conclusion that the Commission's policy prohibiting buy/sell arrangements does not apply to OCS production area buy/sell arrangements, such as those contemplated by MMS' RIK projects.</w:t>
      </w:r>
      <w:r>
        <w:rPr>
          <w:rStyle w:val="FootnoteReference"/>
        </w:rPr>
        <w:footnoteReference w:id="16"/>
      </w:r>
      <w:r>
        <w:rPr>
          <w:rFonts w:eastAsia="Times New Roman" w:cs="Times New Roman" w:ascii="Times New Roman" w:hAnsi="Times New Roman"/>
          <w:color w:val="000000"/>
          <w:sz w:val="26"/>
          <w:szCs w:val="26"/>
        </w:rPr>
        <w:t xml:space="preserve">   Williams contends that its requested confirmation is consistent with the Commission's goal to promote competitive and efficient markets, particularly in the OCS production area.  Williams describes itself as an active merchant in the OCS production area, with interest in participating in the MMS' RIK program.  Williams further states that, in negotiations with other gas suppliers in the Gulf of Mexico, it has proposed the buy/sell framework of MMS' RIK program as a practical model for acquiring their supplies also.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Williams claims that while the RIK projects literally contemplate buy/sell arrangements with MMS, the spirit of those arrangements is consistent with the Commission's fundamental objective of maximizing the benefits of the decontrol of natural gas at the wellhead by creating additional avenues by which more buyers and sellers can reach each other.  Williams asserts that, given the "maze" of both jurisdictional transportation services and non-jurisdictional gathering, processing, balancing, and other production field services, the buy/sell framework provides an efficient, economic means for such production-area transactions, which otherwise would be frustrated by the Commission's capacity release requirements.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Williams further states that the buy/sell framework is often the only sensible,  efficient means to manage all such common production-area needs, as evidenced by the fact that buy/sells are commonly employed for similar production-area transactions involving liquid hydrocarbon products.  Williams claims that the buy/sell framework is critical to MMS’ ability to avail itself of effective, practical gas supply strategies in OCS production field areas.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Williams maintains that the Commission's prohibition on buy/sell transactions was established to prevent circumvention of its capacity release program, which is intended to  to establish a uniform capacity reallocation regime.  Williams asserts, however,  that there is no need to impose such uniform capacity release requirements upon OCS transportation arrangements.  Williams claims that the buy/sell prohibition is not necessary on the OCS since not only is there no compelling need to reallocate capacity on the OCS, but also because the imposition of such capacity release constraints is the antithesis of flexible, custom-tailored services that are the hallmark of a competitive environment, such as the OCS.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Williams reminds the Commission that it has made it clear that it looks favorably upon flexible approaches that further the Commission's goal of enhancing development of OCS resources.</w:t>
      </w:r>
      <w:r>
        <w:rPr>
          <w:rStyle w:val="FootnoteReference"/>
        </w:rPr>
        <w:footnoteReference w:id="17"/>
      </w:r>
      <w:r>
        <w:rPr>
          <w:rFonts w:eastAsia="Times New Roman" w:cs="Times New Roman" w:ascii="Times New Roman" w:hAnsi="Times New Roman"/>
          <w:color w:val="000000"/>
          <w:sz w:val="26"/>
          <w:szCs w:val="26"/>
        </w:rPr>
        <w:t xml:space="preserve">   Given the Commission's acknowledgment of the importance of developing the OCS region, Williams believes that excepting OCS production-area transactions from the Commission's prohibition on buy/sells is reasonable.</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III.  </w:t>
      </w:r>
      <w:r>
        <w:rPr>
          <w:rFonts w:eastAsia="Times New Roman" w:cs="Times New Roman" w:ascii="Times New Roman" w:hAnsi="Times New Roman"/>
          <w:color w:val="000000"/>
          <w:sz w:val="26"/>
          <w:szCs w:val="26"/>
          <w:u w:val="single"/>
        </w:rPr>
        <w:t>NOTICE AND INTERVENTIONS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Williams’ petition noticed by publication in the </w:t>
      </w:r>
      <w:r>
        <w:rPr>
          <w:rFonts w:eastAsia="Times New Roman" w:cs="Times New Roman" w:ascii="Times New Roman" w:hAnsi="Times New Roman"/>
          <w:color w:val="000000"/>
          <w:sz w:val="26"/>
          <w:szCs w:val="26"/>
          <w:u w:val="single"/>
        </w:rPr>
        <w:t>Federal Register</w:t>
      </w:r>
      <w:r>
        <w:rPr>
          <w:rFonts w:eastAsia="Times New Roman" w:cs="Times New Roman" w:ascii="Times New Roman" w:hAnsi="Times New Roman"/>
          <w:color w:val="000000"/>
          <w:sz w:val="26"/>
          <w:szCs w:val="26"/>
        </w:rPr>
        <w:t xml:space="preserve"> on March 23, 2000 ( 65 FR </w:t>
      </w:r>
      <w:r>
        <w:rPr>
          <w:rFonts w:eastAsia="Times New Roman" w:cs="Times New Roman" w:ascii="Times New Roman" w:hAnsi="Times New Roman"/>
          <w:color w:val="000000"/>
          <w:sz w:val="26"/>
          <w:szCs w:val="26"/>
        </w:rPr>
        <w:t>15,626).  Timely, unopposed motions to intervene</w:t>
      </w:r>
      <w:r>
        <w:rPr>
          <w:rStyle w:val="FootnoteReference"/>
        </w:rPr>
        <w:footnoteReference w:id="18"/>
      </w:r>
      <w:r>
        <w:rPr>
          <w:rFonts w:eastAsia="Times New Roman" w:cs="Times New Roman" w:ascii="Times New Roman" w:hAnsi="Times New Roman"/>
          <w:color w:val="000000"/>
          <w:sz w:val="26"/>
          <w:szCs w:val="26"/>
        </w:rPr>
        <w:t xml:space="preserve"> were filed by MMS, Dynegy Marketing and Trade, Natural Gas Supply Association (NGSA); and OCS Producers.</w:t>
      </w:r>
      <w:r>
        <w:rPr>
          <w:rStyle w:val="FootnoteReference"/>
        </w:rPr>
        <w:footnoteReference w:id="19"/>
      </w:r>
      <w:r>
        <w:rPr>
          <w:rFonts w:eastAsia="Times New Roman" w:cs="Times New Roman" w:ascii="Times New Roman" w:hAnsi="Times New Roman"/>
          <w:color w:val="000000"/>
          <w:sz w:val="26"/>
          <w:szCs w:val="26"/>
        </w:rPr>
        <w:t xml:space="preserve">   Dynegy filed comments with its intervention, NGSA filed a limited protest, and OCS Producers filed comments in opposition to granting William's request.  MMS also filed comments. </w:t>
      </w:r>
      <w:r>
        <w:rPr>
          <w:rFonts w:eastAsia="Times New Roman" w:cs="Times New Roman" w:ascii="Times New Roman" w:hAnsi="Times New Roman"/>
          <w:color w:val="000000"/>
          <w:sz w:val="26"/>
          <w:szCs w:val="26"/>
        </w:rPr>
        <w:t xml:space="preserve">  </w:t>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On May 26, 2000 and June 26, 2000, Williams filed responsive pleadings styled as answers in this proceeding.  On May 30, 2000, MMS filed a response.  On June 5, 2000, the OCS Producers filed a responsive pleading styled as an answer.  </w:t>
      </w:r>
      <w:r>
        <w:rPr>
          <w:rFonts w:eastAsia="Times New Roman" w:cs="Times New Roman" w:ascii="Times New Roman" w:hAnsi="Times New Roman"/>
          <w:color w:val="000000"/>
          <w:sz w:val="26"/>
          <w:szCs w:val="26"/>
        </w:rPr>
        <w:t>Absent a waiver,  Rule 213 of the Commission’s Rules of Practice and Procedure</w:t>
      </w:r>
      <w:r>
        <w:rPr>
          <w:rStyle w:val="FootnoteReference"/>
        </w:rPr>
        <w:footnoteReference w:id="20"/>
      </w:r>
      <w:r>
        <w:rPr>
          <w:rFonts w:eastAsia="Times New Roman" w:cs="Times New Roman" w:ascii="Times New Roman" w:hAnsi="Times New Roman"/>
          <w:color w:val="000000"/>
          <w:sz w:val="26"/>
          <w:szCs w:val="26"/>
        </w:rPr>
        <w:t xml:space="preserve"> would prohibit these answers from being placed in the record of this proceeding.  However, to ensure a complete record upon which to address the issues raised in this proceeding, the Commission, for good cause, will waive the restrictions of Rule 213 and allow these pleadings to be considered.</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In general, NGSA, Dynegy, and OCS Producers support a limited waiver of the Commission's prohibition on buy/sell arrangements so that the RIK program can operate as envisioned by MMS.  NGSA's and Dynegy's support is conditioned upon certain terms, as discussed below.  However, both of these parties, as well as MMS, oppose a wholesale extension of a waiver to all buy/sell arrangements on the OCS.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While Dynegy supports granting a limited for MMS' RIK program, Dynegy states  the waiver should continue only until such time as MMS can get necessary appropriations to reserve firm pipeline capacity for transportation of Federal  royalty gas.  Dynergy further argues that there is no basis for the Commission's granting a generic waiver to buy/sell arrangements across the entire OCS, since Williams has offered no evidence to support its assertion that development of gas supply on the OCS may be handicapped by shippers' inability to perform buy/sell exchanges using firm capacity.  Dynegy believes Williams is using MMS' RIK program to leverage light-handed regulation on the OCS.  Dynegy emphasizes that granting Williams' request for a generic OCS waiver of the buy/sell prohibition would be a significant policy shift, which should not be addressed in the context of a petition for declaratory order.  Dynegy believes that a generic waiver of the buy/sell prohibition for the OCS would cripple the Commission's ability to monitor the offshore marketplace, particularly supply transactions between pipelines and their marketing affiliates, and would jeopardize the industry's move to an open, non-discriminatory capacity marketplace, as contemplated by Order Nos. 436 and 636.</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NGSA supports a narrow exemption of the Commission's prohibition on buy/sell arrangements to accommodate MMS' RIK program through either an exemption in this proceeding or a limited and narrowly drawn interim rule.  NGSA believes MMS'  RIK program presents a unique regulatory situation in the context of the Commission's capacity release program.  NGSA asserts that the RIK program is supported by a public sentiment of simplifying and streamlining the administration and collection of federal natural gas royalties, and states that MMS currently lacks the necessary budget authorization to purchase its own firm transportation service.  NGSA adds that such exemption should be limited expressly to those transportation arrangements performed directly in connection with MMS' RIK program, and should be effective only until MMS procures funding and staff to reserve its own firm transportation capacity on interstate pipelines.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NGSA opposes extending the waiver to all buy/sell arrangements on the OCS, arguing that pipelines operating on the OCS already have uniform capacity release mechanisms in place to ensure that capacity reassignments take place in an open and non-discriminatory manner.  NGSA states that extensive information is available regarding the RIK program, including bidders, quantities, and affected pipelines, whereas such information is not available with respect to the other transactions that would be within the scope of Williams' petition.  NGSA asserts that Williams has offered no meaningful argument to support its request for a general OCS waiver, and equates it to a belated attack on Order No. 636.  NGSA believes that, if granted, Williams' request would eliminate market transparency on the OCS, and establish a nonuniform regulatory framework for OCS and non-OCS transactions.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OCS Producers state they are sensitive to MMS' plight to remove the administrative burdens associated with its royalties program and would support a limited waiver applicable only to gas transported under the RIK program.  According to OCS Producers, implementation of the RIK program does not involve the same potential for anti-competitive harm that was contemplated by the Commission's capacity release policies, since the RIK program invites bids from all interested parties, and thus granting a limited waiver would be in accord with the public interest.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OCS Producers note that the Commission has granted limited waiver of certain  transportation regulations (</w:t>
      </w:r>
      <w:r>
        <w:rPr>
          <w:rFonts w:eastAsia="Times New Roman" w:cs="Times New Roman" w:ascii="Times New Roman" w:hAnsi="Times New Roman"/>
          <w:color w:val="000000"/>
          <w:sz w:val="26"/>
          <w:szCs w:val="26"/>
          <w:u w:val="single"/>
        </w:rPr>
        <w:t>e.g</w:t>
      </w:r>
      <w:r>
        <w:rPr>
          <w:rFonts w:eastAsia="Times New Roman" w:cs="Times New Roman" w:ascii="Times New Roman" w:hAnsi="Times New Roman"/>
          <w:color w:val="000000"/>
          <w:sz w:val="26"/>
          <w:szCs w:val="26"/>
        </w:rPr>
        <w:t xml:space="preserve">., the "shipper must have title" requirement)  to accommodate a legitimate public interest goal, and in this situation the public interest is served by facilitation of the RIK program to promote efficient exploration and development of the OCS.  OCS Producers add that if there is any evidence that the waiver is resulting in affiliate preference or discrimination regarding the transportation of RIK volumes, then the Commission should place parties on notice that the waiver is subject to revocation under such circumstances for any entities such preferences.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OCS Producers oppose any declaratory ruling that would permit buy/sell arrangements for either non-RIK transactions or transactions involving both RIK transportation and non-RIK transportation.  OCS Producers assert that Williams' request is a thinly veiled attack on the capacity release requirements of Order No. 636, and believe that granting such a sweeping waiver would eviscerate the competitive bidding requirements for pipeline capacity to transport OCS gas in interstate commerce, which would not be in the public interest.</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In its comments, MMS clarifies that it neither requests nor anticipates a "redelivery" of any natural gas royalties as asserted by parties.  MMS states that it does not place any restrictions on the wellhead gas, does not direct its transportation, and, contrary to Williams’ description, places no responsibility on the contractor for any transportation, processing or separation.   According to MMS, no prices are used in the arrangement, no presumption is made that the gas is "sold" and then "bought" back, and nowhere in the contract or bid document does it say that the difference between the wellhead gas and delivered gas constitutes a consideration of payment.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MMS emphasizes that there is not necessarily any physical link between the gas produced in the Gulf of Mexico and the gas provided in trade by a successful bidder under the RIK program.   MMS considers an RIK transaction a simple asset trade, with no mention of price, service, or compensation.  MMS explains that it is not the shipper in the subject transactions and does not have title to the gas as it moves along any pipeline system.  MMS maintains that the RIK program does not utilize buy/sell arrangements and does not violate the Commission's policy requiring that a shipper have title to gas while it is being transported.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MMS also emphasizes that, unlike traditional buy/sells, its RIK program is completely open and transparent, with no private or closed market deals.  MMS requests that the Commission determines that its RIK program is not consistent with either the Commission's buy/sell prohibition or policy requiring shippers to have title, then a specific waiver should be given to MMS based on the public interest of the program. MMS opposes the RIK program being used as a vehicle for a blanket authorization of OCS buy/sells, as Williams requests.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Since the RIK program is completely open and transparent, MMS believes it is  consistent with the Commission’s policy of promoting market transparency.  MMS explains that, unlike the typical buy/sell agreement, the RIK program auction is posted and distributed publicly with no private, closed market deals.  The successful bidder in an  auction and the specific MMS royalty production that is being taken in trade are announced and available publicly.</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In its May 26 and June 26, 2000 answers, Williams contends that the open access provisions of the Outer Continental Shelf Lands Act (OCSLA)</w:t>
      </w:r>
      <w:r>
        <w:rPr>
          <w:rStyle w:val="FootnoteReference"/>
        </w:rPr>
        <w:footnoteReference w:id="21"/>
      </w:r>
      <w:r>
        <w:rPr>
          <w:rFonts w:eastAsia="Times New Roman" w:cs="Times New Roman" w:ascii="Times New Roman" w:hAnsi="Times New Roman"/>
          <w:color w:val="000000"/>
          <w:sz w:val="26"/>
          <w:szCs w:val="26"/>
        </w:rPr>
        <w:t xml:space="preserve"> adequately serve the same objectives of the Commission's buy/sell prohibition (</w:t>
      </w:r>
      <w:r>
        <w:rPr>
          <w:rFonts w:eastAsia="Times New Roman" w:cs="Times New Roman" w:ascii="Times New Roman" w:hAnsi="Times New Roman"/>
          <w:color w:val="000000"/>
          <w:sz w:val="26"/>
          <w:szCs w:val="26"/>
          <w:u w:val="single"/>
        </w:rPr>
        <w:t>i.e.</w:t>
      </w:r>
      <w:r>
        <w:rPr>
          <w:rFonts w:eastAsia="Times New Roman" w:cs="Times New Roman" w:ascii="Times New Roman" w:hAnsi="Times New Roman"/>
          <w:color w:val="000000"/>
          <w:sz w:val="26"/>
          <w:szCs w:val="26"/>
        </w:rPr>
        <w:t xml:space="preserve">, promoting a competitive marketplace), thus rendering the prohibition of buy/sell arrangements unnecessary.  Williams argues that a uniform Natural Gas Act (NGA)-based capacity allocation scheme (which the buy/sell prohibitions are designed to facilitate) cannot be achieved on the OCS, given the NGA's limited reach over a small segment of pipelines, but that allowing buy/sell arrangements for transportation over the OCS would avail a more competitive market environment.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Williams also asserts that buy/sell arrangements on the OCS are consistent with the OCSLA, since they would remove any unnecessary regulatory barriers impeding the expeditious and orderly development of the OCS, as called for by Congress in that statute.  According to Williams, allowing such arrangements would allow a competitive, non-discriminatory access scheme on the OCS.  Further, Williams believes that a limited waiver applicable only to MMS' RIK program would constitute one government arm granting another government arm preferential treatment, and that such action would be antithetical to the OCSLA's purpose to "preserve and maintain free enterprise competition."</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In their response to Williams' answer, the OCS Producers state that the statutory requirements of the OCSLA do not obviate the need for regulations under the NGA.  The OCS Producers aver that the OCSLA and NGA have compatible regulatory goals which do not eliminate the need for regulations such as the prohibition of the buy/sell arrangements to promote a competitive secondary market on the OCS.  The OCS Producers also challenge Williams' argument that buy/sell transactions are consistent with the OCSLA, arguing that if the goal is to promote a competitive marketplace, competitive bidding of secondary capacity – and the prohibition against buy/sell arrangements – would ensure such competition.  The OCS Producers further argue that granting a limited waiver to the MMS here would not constitute preferential treatment, since it merely would facilitate a simple and efficient method of royalty payment, which is distinct from the Commission's obligation to ensure the open and non-discriminatory transportation of natural gas.</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IV.  </w:t>
      </w:r>
      <w:r>
        <w:rPr>
          <w:rFonts w:eastAsia="Times New Roman" w:cs="Times New Roman" w:ascii="Times New Roman" w:hAnsi="Times New Roman"/>
          <w:color w:val="000000"/>
          <w:sz w:val="26"/>
          <w:szCs w:val="26"/>
          <w:u w:val="single"/>
        </w:rPr>
        <w:t>DISCUSSION</w:t>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We will deny Williams' request for a declaration confirming Williams' view that the Commission's buy/sell prohibition does not apply to transportation arrangements made on the OCS.  The Commission believes that granting the generic OCS buy/sell waiver requested by Williams would be contrary to the public interest, because it would increase significantly the potential for evasion of the competitive bidding requirements for pipeline capacity needed to transport OCS gas in interstate commerce.  This denial of the request for a OCS-wide waiver of the prohibition of buy/sells is consistent with the Commission’s recent reaffirmations of that policy.</w:t>
      </w:r>
      <w:r>
        <w:rPr>
          <w:rStyle w:val="FootnoteReference"/>
        </w:rPr>
        <w:footnoteReference w:id="22"/>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Interstate pipelines operating in the OCS already have uniform capacity release mechanisms in place to ensure that capacity reassignments take place in an open and non-discriminatory manner.  As emphasized by the parties, a generic waiver of the buy/sell prohibition on the OCS would seriously erode the Commission's ability to monitor the offshore marketplace, particularly supply transactions between pipelines and their marketing affiliates; thus, it would thwart the industry's momentum towards an open, non-discriminatory capacity marketplace, as contemplated by Order Nos. 436 and 636.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While MMS makes extensive information -- including the identities of bidders, quantities, and transporters -- publicly available pursuant to its RIK program, it is the Commission's capacity release program's posting and bidding requirements that have created the current market transparency, both onshore and in the OCS.  In addition to the likelihood of eliminating this transparency on the OCS, Williams' request would establish a non-uniform regulatory framework for OCS and non-OCS transactions, notwithstanding an absence of any clear distinction between the two domains respecting the need for open transactions.  Williams offers no proof to support its assertion that development of gas supply on the OCS may be handicapped by the inability to perform buy/sell exchanges using firm capacity.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Having explained the Commission's reasons for denying Williams' request for a declaratory order that the Commission's buy/sell prohibition does not apply to OCS </w:t>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 xml:space="preserve">transactions, the Commission will address MMS' request for a limited waiver for its RIK pilot program.  While MMS suggests that the transportation arrangements employed in its RIK program are not truly buy/sell arrangements since no price is paid, no restrictions are placed on the transportation of the gas, and all contractors are selected through a competitive bidding process, the Commission finds </w:t>
      </w:r>
      <w:r>
        <w:rPr>
          <w:rFonts w:eastAsia="Times New Roman" w:cs="Times New Roman" w:ascii="Times New Roman" w:hAnsi="Times New Roman"/>
          <w:color w:val="000000"/>
          <w:sz w:val="26"/>
          <w:szCs w:val="26"/>
        </w:rPr>
        <w:t xml:space="preserve">that the RIK transactions would violate the buy/sell prohibition set forth in Order </w:t>
      </w:r>
      <w:r>
        <w:rPr>
          <w:rFonts w:eastAsia="Times New Roman" w:cs="Times New Roman" w:ascii="Times New Roman" w:hAnsi="Times New Roman"/>
          <w:color w:val="000000"/>
          <w:sz w:val="26"/>
          <w:szCs w:val="26"/>
        </w:rPr>
        <w:t xml:space="preserve">No. </w:t>
      </w:r>
      <w:r>
        <w:rPr>
          <w:rFonts w:eastAsia="Times New Roman" w:cs="Times New Roman" w:ascii="Times New Roman" w:hAnsi="Times New Roman"/>
          <w:color w:val="000000"/>
          <w:sz w:val="26"/>
          <w:szCs w:val="26"/>
        </w:rPr>
        <w:t xml:space="preserve">636. </w:t>
      </w:r>
      <w:r>
        <w:rPr>
          <w:rStyle w:val="FootnoteReference"/>
        </w:rPr>
        <w:footnoteReference w:id="23"/>
      </w:r>
      <w:r>
        <w:rPr>
          <w:rFonts w:eastAsia="Times New Roman" w:cs="Times New Roman" w:ascii="Times New Roman" w:hAnsi="Times New Roman"/>
          <w:color w:val="000000"/>
          <w:sz w:val="26"/>
          <w:szCs w:val="26"/>
        </w:rPr>
        <w:t xml:space="preserve">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 xml:space="preserve">As discussed above, </w:t>
      </w:r>
      <w:r>
        <w:rPr>
          <w:rFonts w:eastAsia="Times New Roman" w:cs="Times New Roman" w:ascii="Times New Roman" w:hAnsi="Times New Roman"/>
          <w:color w:val="000000"/>
          <w:sz w:val="26"/>
          <w:szCs w:val="26"/>
        </w:rPr>
        <w:t>prohibited buy/sell transactions include any arrangement pursuant to which a shipper would buy gas from or on behalf of another entity, ship that gas on a pipeline, and resell the gas to the entity at the delivery point.</w:t>
      </w:r>
      <w:r>
        <w:rPr>
          <w:rFonts w:eastAsia="Times New Roman" w:cs="Times New Roman" w:ascii="Times New Roman" w:hAnsi="Times New Roman"/>
          <w:color w:val="000000"/>
          <w:sz w:val="26"/>
          <w:szCs w:val="26"/>
        </w:rPr>
        <w:t xml:space="preserve">  For all practical purposes, this is the type of arrangement envisioned by MMS' RIK program, since the shippers -- </w:t>
      </w:r>
      <w:r>
        <w:rPr>
          <w:rFonts w:eastAsia="Times New Roman" w:cs="Times New Roman" w:ascii="Times New Roman" w:hAnsi="Times New Roman"/>
          <w:color w:val="000000"/>
          <w:sz w:val="26"/>
          <w:szCs w:val="26"/>
          <w:u w:val="single"/>
        </w:rPr>
        <w:t>i.e.</w:t>
      </w:r>
      <w:r>
        <w:rPr>
          <w:rFonts w:eastAsia="Times New Roman" w:cs="Times New Roman" w:ascii="Times New Roman" w:hAnsi="Times New Roman"/>
          <w:color w:val="000000"/>
          <w:sz w:val="26"/>
          <w:szCs w:val="26"/>
        </w:rPr>
        <w:t xml:space="preserve">, the RIK contractors -- will purchase MMS' Federal royalty gas at the </w:t>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rPr>
        <w:t>production platforms, arrange for transportation of the gas on interstate pipelines from the OCS, and redeliver amounts of gas to MMS at its onshore  supply pools delivery points.</w:t>
      </w:r>
      <w:r>
        <w:rPr>
          <w:rStyle w:val="FootnoteReference"/>
        </w:rPr>
        <w:footnoteReference w:id="24"/>
      </w:r>
      <w:r>
        <w:rPr>
          <w:rFonts w:eastAsia="Times New Roman" w:cs="Times New Roman" w:ascii="Times New Roman" w:hAnsi="Times New Roman"/>
          <w:color w:val="000000"/>
          <w:sz w:val="26"/>
          <w:szCs w:val="26"/>
        </w:rPr>
        <w:t xml:space="preserve">  </w:t>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However, the Commission believes that there exists good cause to grant a limited waiver of its prohibition on buy/sell arrangements and capacity release regulations to the extent necessary to allow operation of MMS' RIK program.  While Williams argues that a waiver solely for MMS' RIK program will constitute preferential treatment and be inconsistent with the OCSLA's goal of promoting competition, the Commission believes that the benefits that will accrue from successful implementation of the RIK program combined with the unique, open-character of the RIK transportation arrangements provide sufficient benefits that such a waiver is in the public interest.  The public interest will be served by facilitation of MMS' RIK program to promote efficient exploration and development of the OCS.  Further, an efficiently operating RIK program will decrease the cost of royalty collection, reduce the administrative burden on industry, and provide greater certainty and accuracy in royalty collection, while realizing full and fair market value for federal royalties, and reducing burdensome paperwork and administrative costs.  By reducing administrative costs, MMS is optimizing assets in the Federal treasury, thus benefitting the total citizenry of the United States.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The Commission’s grant of the limited waiver for operation of MMS' RIK program will be subject to certain conditions. The waiver will apply only to interstate  transportation arrangements performed directly in connection with MMS' RIK program.  For purposes of the waiver, RIK gas will include both offshore gas production sold by MMS under the RIK program and gas supplies received by MMS pursuant to the RIK program.  The waiver may be invoked solely for the transportation of such RIK gas.  In any transaction involving both RIK gas and non-RIK gas, the waiver will apply only to the interstate pipeline capacity needed to transport the RIK gas volumes.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As discussed, MMS explains in its comments and request for limited waiver that it is seeking budget approval and intends to make other arrangements in order to reserve its own firm capacity for the transportation of its royalty gas from the OCS to onshore supply pools.  This order's waiver is intended to apply only until MMS can obtain its own firm capacity to transport its royalty gas onshore or implement an auction that is not inconsistent with the regulations governing the Commission's capacity release program.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Gas volumes will commence flowing November 1, 2000, pursuant to MMS' most recent RIK auction.</w:t>
      </w:r>
      <w:r>
        <w:rPr>
          <w:rStyle w:val="FootnoteReference"/>
        </w:rPr>
        <w:footnoteReference w:id="25"/>
      </w:r>
      <w:r>
        <w:rPr>
          <w:rFonts w:eastAsia="Times New Roman" w:cs="Times New Roman" w:ascii="Times New Roman" w:hAnsi="Times New Roman"/>
          <w:color w:val="000000"/>
          <w:sz w:val="26"/>
          <w:szCs w:val="26"/>
        </w:rPr>
        <w:t xml:space="preserve">  Therefore, the waiver granted herein will become effective on that date and remain in effect for one year.</w:t>
      </w:r>
      <w:r>
        <w:rPr>
          <w:rStyle w:val="FootnoteReference"/>
        </w:rPr>
        <w:footnoteReference w:id="26"/>
      </w:r>
      <w:r>
        <w:rPr>
          <w:rFonts w:eastAsia="Times New Roman" w:cs="Times New Roman" w:ascii="Times New Roman" w:hAnsi="Times New Roman"/>
          <w:color w:val="000000"/>
          <w:sz w:val="26"/>
          <w:szCs w:val="26"/>
        </w:rPr>
        <w:t xml:space="preserve">  The Commission is directing MMS to file by August 1, 2001, a report or comments regarding the status of its plan to replace its auction system or obtaining its own firm transportation capacity.  If, after one year, the Commission finds that the public interest would not be served by continuing the waiver, the Commission will act at that time to terminate the waiver.  The Commission emphasizes, however, that the waiver may be revoked at any time if evidence shows that the waiver is allowing any entity to engage in affiliate preference or any other discriminatory or anti-competitive behavior.</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pPr>
      <w:r>
        <w:rPr>
          <w:rFonts w:eastAsia="Times New Roman" w:cs="Times New Roman" w:ascii="Times New Roman" w:hAnsi="Times New Roman"/>
          <w:color w:val="000000"/>
          <w:sz w:val="26"/>
          <w:szCs w:val="26"/>
          <w:u w:val="single"/>
        </w:rPr>
        <w:t>The Commission orders</w:t>
      </w:r>
      <w:r>
        <w:rPr>
          <w:rFonts w:eastAsia="Times New Roman" w:cs="Times New Roman" w:ascii="Times New Roman" w:hAnsi="Times New Roman"/>
          <w:color w:val="000000"/>
          <w:sz w:val="26"/>
          <w:szCs w:val="26"/>
        </w:rPr>
        <w:t>:</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(A)  A limited, one-year waiver of the Commission's buy/sell policy and capacity release regulations in Subpart H of Part 284 is granted to permit operation of MMS' RIK program, as described herein, effective November 1, 2000, through October 31, 2001.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(B)  MMS shall file by August 1, 2001, a report or comments on the status of its RIK program and need for continuation of the waiver granted in Ordering Paragraph (A).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(C)  Williams' request for declaratory order is denied.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By the Commission.</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 E A L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504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David P. Boergers,</w:t>
      </w:r>
    </w:p>
    <w:p>
      <w:pPr>
        <w:pStyle w:val="Normal"/>
        <w:bidi w:val="0"/>
        <w:spacing w:lineRule="auto" w:line="240" w:before="0" w:after="0"/>
        <w:ind w:firstLine="504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Secretary.</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sectPr>
      <w:headerReference w:type="default" r:id="rId2"/>
      <w:footnotePr>
        <w:numFmt w:val="decimal"/>
      </w:footnotePr>
      <w:type w:val="nextPage"/>
      <w:pgSz w:w="12240" w:h="15840"/>
      <w:pgMar w:left="1440" w:right="1440" w:gutter="0" w:header="1440" w:top="1739"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Pipeline Service Obligations and Revisions to Regulations Governing Self-Implementing Transportation; and Regulation of Natural Gas Pipelines After Partial Wellhead Decontrol, 57 FR 13267 (April 16, 1992) FERC Stats. &amp; Regs. ¶ 30,939 (Order No. 636) (April 8, 1992).</w:t>
      </w:r>
    </w:p>
  </w:footnote>
  <w:footnote w:id="3">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59 FERC ¶ 61,030, at p. 30,416 (1992).</w:t>
      </w:r>
    </w:p>
  </w:footnote>
  <w:footnote w:id="4">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 xml:space="preserve">The Commission's rules governing capacity release are set forth in Subpart H of Part 284 of the regulations, 18 CFR 284.241 </w:t>
      </w:r>
      <w:r>
        <w:rPr>
          <w:rFonts w:eastAsia="Times New Roman" w:cs="Times New Roman" w:ascii="Times New Roman" w:hAnsi="Times New Roman"/>
          <w:color w:val="000000"/>
          <w:sz w:val="26"/>
          <w:szCs w:val="26"/>
          <w:u w:val="single"/>
        </w:rPr>
        <w:t>et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seq.</w:t>
      </w:r>
      <w:r>
        <w:rPr>
          <w:rFonts w:eastAsia="Times New Roman" w:cs="Times New Roman" w:ascii="Times New Roman" w:hAnsi="Times New Roman"/>
          <w:color w:val="000000"/>
          <w:sz w:val="26"/>
          <w:szCs w:val="26"/>
        </w:rPr>
        <w:t xml:space="preserve"> (2000). </w:t>
      </w:r>
    </w:p>
  </w:footnote>
  <w:footnote w:id="5">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Pipeline Service Obligations and Revisions to Regulations Governing Self-Implementing Transportation; and Regulation of Natural Gas Pipelines After Wellhead Decontrol, Order No. 636, FERC Stats. &amp; Regs., 1991-96, ¶ 30,939, at pp. 30,416-17 (1992),</w:t>
      </w:r>
      <w:r>
        <w:rPr>
          <w:rFonts w:eastAsia="Times New Roman" w:cs="Times New Roman" w:ascii="Times New Roman" w:hAnsi="Times New Roman"/>
          <w:color w:val="000000"/>
          <w:sz w:val="26"/>
          <w:szCs w:val="26"/>
        </w:rPr>
        <w:t xml:space="preserve"> and El Paso Natural Gas Co., 59 FERC ¶ 61,031, </w:t>
      </w:r>
      <w:r>
        <w:rPr>
          <w:rFonts w:eastAsia="Times New Roman" w:cs="Times New Roman" w:ascii="Times New Roman" w:hAnsi="Times New Roman"/>
          <w:color w:val="000000"/>
          <w:sz w:val="26"/>
          <w:szCs w:val="26"/>
          <w:u w:val="single"/>
        </w:rPr>
        <w:t>reh'g denied</w:t>
      </w:r>
      <w:r>
        <w:rPr>
          <w:rFonts w:eastAsia="Times New Roman" w:cs="Times New Roman" w:ascii="Times New Roman" w:hAnsi="Times New Roman"/>
          <w:color w:val="000000"/>
          <w:sz w:val="26"/>
          <w:szCs w:val="26"/>
        </w:rPr>
        <w:t>, 60 FERC ¶ 61,117 (1992).</w:t>
      </w:r>
    </w:p>
  </w:footnote>
  <w:footnote w:id="6">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e.g.</w:t>
      </w:r>
      <w:r>
        <w:rPr>
          <w:rFonts w:eastAsia="Times New Roman" w:cs="Times New Roman" w:ascii="Times New Roman" w:hAnsi="Times New Roman"/>
          <w:color w:val="000000"/>
          <w:sz w:val="26"/>
          <w:szCs w:val="26"/>
        </w:rPr>
        <w:t xml:space="preserve">, Trailblazer Pipeline Co., 39 FERC ¶ 61,103 (1987) ("Nevertheless, we do require that a shipper have title to protect against capacity brokering."  </w:t>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xml:space="preserve">. at p. 61,331.)    </w:t>
      </w:r>
    </w:p>
  </w:footnote>
  <w:footnote w:id="7">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 xml:space="preserve">Regulation of Natural Gas Pipelines After Partial Wellhead Decontrol, Order No. 436, FERC Stats. &amp; Regs., 1991-96, ¶ 30,665.  </w:t>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e.g.</w:t>
      </w:r>
      <w:r>
        <w:rPr>
          <w:rFonts w:eastAsia="Times New Roman" w:cs="Times New Roman" w:ascii="Times New Roman" w:hAnsi="Times New Roman"/>
          <w:color w:val="000000"/>
          <w:sz w:val="26"/>
          <w:szCs w:val="26"/>
        </w:rPr>
        <w:t>, Consolidated Gas Transmission Corp., 38 FERC ¶ 61,150, at p. 61,408 (1987).</w:t>
      </w:r>
    </w:p>
  </w:footnote>
  <w:footnote w:id="8">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Texas Eastern Transmission Corp., 37 FERC ¶ 61,260 (1986), in which the Commission explained:</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hanging="0" w:start="720" w:end="720"/>
        <w:jc w:val="start"/>
        <w:rPr/>
      </w:pPr>
      <w:r>
        <w:rPr>
          <w:rFonts w:eastAsia="Times New Roman" w:cs="Times New Roman" w:ascii="Times New Roman" w:hAnsi="Times New Roman"/>
          <w:color w:val="000000"/>
          <w:sz w:val="26"/>
          <w:szCs w:val="26"/>
        </w:rPr>
        <w:t xml:space="preserve">If the earlier comer [original shipper] could establish a priority for capacity that is not based on a specific transaction, the earlier comer could request as much capacity as it wants and thereby pre-empt the capacity available to later comers.  If the earlier comer could then assign or broker this capacity to others, it would be in the position of determining, subject to the terms of its choosing, which of the later comers would be granted access to the pipeline's capacity.   . . .  Thus, the control of the pipeline's capacity, which is an essential facility, would have passed from an entity that must allocate capacity on a non-discriminatory basis to an entity that need not.  It was because of this possibility that we held in El Paso that capacity brokering is an abuse of the first-come, first-served scheme of allocation capacity . . .  . </w:t>
      </w:r>
      <w:r>
        <w:rPr>
          <w:rFonts w:eastAsia="Times New Roman" w:cs="Times New Roman" w:ascii="Times New Roman" w:hAnsi="Times New Roman"/>
          <w:color w:val="000000"/>
          <w:sz w:val="26"/>
          <w:szCs w:val="26"/>
        </w:rPr>
        <w:t xml:space="preserve">  Hence the question is whether requiring the shipper also to have title is needed to prevent capacity brokering.  We think it is . . .  .   </w:t>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xml:space="preserve">. at p. 61,684.  </w:t>
      </w:r>
    </w:p>
  </w:footnote>
  <w:footnote w:id="9">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 xml:space="preserve">Regulation of Short-Term Natural Gas Transportation Services, and Regulation of Interstate Natural Gas Transportation Services, III FERC Stats. &amp; Regs., Regulations Preambles, ¶ 31,091 </w:t>
      </w:r>
      <w:r>
        <w:rPr>
          <w:rFonts w:eastAsia="Times New Roman" w:cs="Times New Roman" w:ascii="Times New Roman" w:hAnsi="Times New Roman"/>
          <w:color w:val="000000"/>
          <w:sz w:val="26"/>
          <w:szCs w:val="26"/>
        </w:rPr>
        <w:t>(Order No. 637) (Feb. 9, 2000)</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order on rehearing</w:t>
      </w:r>
      <w:r>
        <w:rPr>
          <w:rFonts w:eastAsia="Times New Roman" w:cs="Times New Roman" w:ascii="Times New Roman" w:hAnsi="Times New Roman"/>
          <w:color w:val="000000"/>
          <w:sz w:val="26"/>
          <w:szCs w:val="26"/>
        </w:rPr>
        <w:t>,  III FERC Stats. &amp; Regs., Regulations Preambles, ¶ 31,099 (Order No. 637-A)(May 19, 2000).</w:t>
      </w:r>
    </w:p>
  </w:footnote>
  <w:footnote w:id="10">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Order No. 637 </w:t>
      </w:r>
      <w:r>
        <w:rPr>
          <w:rFonts w:eastAsia="Times New Roman" w:cs="Times New Roman" w:ascii="Times New Roman" w:hAnsi="Times New Roman"/>
          <w:color w:val="000000"/>
          <w:sz w:val="26"/>
          <w:szCs w:val="26"/>
        </w:rPr>
        <w:t>at p. 31,300.</w:t>
      </w:r>
    </w:p>
  </w:footnote>
  <w:footnote w:id="11">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e.g.</w:t>
      </w:r>
      <w:r>
        <w:rPr>
          <w:rFonts w:eastAsia="Times New Roman" w:cs="Times New Roman" w:ascii="Times New Roman" w:hAnsi="Times New Roman"/>
          <w:color w:val="000000"/>
          <w:sz w:val="26"/>
          <w:szCs w:val="26"/>
        </w:rPr>
        <w:t xml:space="preserve">, National Fuel Gas Distribution Corp., 86 FERC ¶  61,179 (1999) (limited extension of waiver of "shipper must have title" rule for customer-choice program in Pennsylvania).  </w:t>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also</w:t>
      </w:r>
      <w:r>
        <w:rPr>
          <w:rFonts w:eastAsia="Times New Roman" w:cs="Times New Roman" w:ascii="Times New Roman" w:hAnsi="Times New Roman"/>
          <w:color w:val="000000"/>
          <w:sz w:val="26"/>
          <w:szCs w:val="26"/>
        </w:rPr>
        <w:t xml:space="preserve"> Atlanta Gas Light Co., 84 FERC ¶ 61,119 (1998). </w:t>
      </w:r>
      <w:r>
        <w:rPr>
          <w:rFonts w:eastAsia="Times New Roman" w:cs="Times New Roman" w:ascii="Times New Roman" w:hAnsi="Times New Roman"/>
          <w:color w:val="000000"/>
          <w:sz w:val="26"/>
          <w:szCs w:val="26"/>
          <w:u w:val="single"/>
        </w:rPr>
        <w:t>But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Enron Energy Services, Inc., </w:t>
      </w:r>
      <w:r>
        <w:rPr>
          <w:rFonts w:eastAsia="Times New Roman" w:cs="Times New Roman" w:ascii="Times New Roman" w:hAnsi="Times New Roman"/>
          <w:color w:val="000000"/>
          <w:sz w:val="26"/>
          <w:szCs w:val="26"/>
          <w:u w:val="single"/>
        </w:rPr>
        <w:t>et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al</w:t>
      </w:r>
      <w:r>
        <w:rPr>
          <w:rFonts w:eastAsia="Times New Roman" w:cs="Times New Roman" w:ascii="Times New Roman" w:hAnsi="Times New Roman"/>
          <w:color w:val="000000"/>
          <w:sz w:val="26"/>
          <w:szCs w:val="26"/>
        </w:rPr>
        <w:t>., 84 FERC ¶ 61,222 at p. 62,063 (1998) (denial of request for waiver of the "shipper must have title" rule and capacity release regulations to permit the shipper to transfer title in transit in order to avoid the state gross receipts tax in New York),</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order</w:t>
      </w:r>
      <w:r>
        <w:rPr>
          <w:rFonts w:eastAsia="Times New Roman" w:cs="Times New Roman" w:ascii="Times New Roman" w:hAnsi="Times New Roman"/>
          <w:color w:val="000000"/>
          <w:sz w:val="26"/>
          <w:szCs w:val="26"/>
          <w:u w:val="single"/>
        </w:rPr>
        <w:t xml:space="preserve"> granting clarification and denying reh’g</w:t>
      </w:r>
      <w:r>
        <w:rPr>
          <w:rFonts w:eastAsia="Times New Roman" w:cs="Times New Roman" w:ascii="Times New Roman" w:hAnsi="Times New Roman"/>
          <w:color w:val="000000"/>
          <w:sz w:val="26"/>
          <w:szCs w:val="26"/>
        </w:rPr>
        <w:t xml:space="preserve"> , 85 FERC ¶ 61,221 at p. 61,905 (1998) (clarifying that the “shipper must have title rule” applies even when an emergency arrangement exists between the shipper and a third party).</w:t>
      </w:r>
    </w:p>
  </w:footnote>
  <w:footnote w:id="12">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 xml:space="preserve">90 FERC ¶  61,308 </w:t>
      </w:r>
      <w:r>
        <w:rPr>
          <w:rFonts w:eastAsia="Times New Roman" w:cs="Times New Roman" w:ascii="Times New Roman" w:hAnsi="Times New Roman"/>
          <w:color w:val="000000"/>
          <w:sz w:val="26"/>
          <w:szCs w:val="26"/>
        </w:rPr>
        <w:t>(2000).</w:t>
      </w:r>
    </w:p>
  </w:footnote>
  <w:footnote w:id="13">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at p. 62,000.</w:t>
      </w:r>
      <w:r>
        <w:rPr>
          <w:rFonts w:eastAsia="Times New Roman" w:cs="Times New Roman" w:ascii="Times New Roman" w:hAnsi="Times New Roman"/>
          <w:color w:val="000000"/>
          <w:sz w:val="26"/>
          <w:szCs w:val="26"/>
        </w:rPr>
        <w:t xml:space="preserve"> </w:t>
      </w:r>
    </w:p>
  </w:footnote>
  <w:footnote w:id="14">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xml:space="preserve">. </w:t>
      </w:r>
    </w:p>
  </w:footnote>
  <w:footnote w:id="15">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Id</w:t>
      </w:r>
      <w:r>
        <w:rPr>
          <w:rFonts w:eastAsia="Times New Roman" w:cs="Times New Roman" w:ascii="Times New Roman" w:hAnsi="Times New Roman"/>
          <w:color w:val="000000"/>
          <w:sz w:val="26"/>
          <w:szCs w:val="26"/>
        </w:rPr>
        <w:t>. at p. 62,001.</w:t>
      </w:r>
    </w:p>
  </w:footnote>
  <w:footnote w:id="16">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 xml:space="preserve">Williams describes the MMS' RIK program as follows: </w:t>
      </w:r>
    </w:p>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
    </w:p>
    <w:p>
      <w:pPr>
        <w:pStyle w:val="Normal"/>
        <w:bidi w:val="0"/>
        <w:spacing w:lineRule="auto" w:line="240" w:before="0" w:after="0"/>
        <w:ind w:firstLine="720" w:start="0" w:end="0"/>
        <w:jc w:val="start"/>
        <w:rPr/>
      </w:pPr>
      <w:r>
        <w:rPr>
          <w:rFonts w:eastAsia="Times New Roman" w:cs="Times New Roman" w:ascii="Times New Roman" w:hAnsi="Times New Roman"/>
          <w:color w:val="000000"/>
          <w:sz w:val="26"/>
          <w:szCs w:val="26"/>
        </w:rPr>
        <w:t>The successful bidder (RIK Contractor):  (1) buys royalty gas from MMS at one or more receipt points where the RIK Contractor takes title to the gas; (2) is responsible for all firm and interruptible transportation and supply arrangements (such as processing or separation) necessary to make a certain amount of gas available to MMS at specified onshore delivery point(s); (3) sells gas to MMS at said delivery points in a quantity equal to a stated percentage of the quantity of gas bought from MMS at the receipt points; and (4) retains, as consideration for its participation in the transaction, that quantity of gas constituting the difference between the quantity bought and sold, plus any processing revenues.   (As discussed herein, MMS' characterization of the RIK program differs in some respects from that presented by Williams.)</w:t>
      </w:r>
      <w:r>
        <w:rPr>
          <w:rFonts w:eastAsia="Times New Roman" w:cs="Times New Roman" w:ascii="Times New Roman" w:hAnsi="Times New Roman"/>
          <w:color w:val="000000"/>
          <w:sz w:val="26"/>
          <w:szCs w:val="26"/>
        </w:rPr>
        <w:t xml:space="preserve"> </w:t>
      </w:r>
    </w:p>
  </w:footnote>
  <w:footnote w:id="17">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Citing</w:t>
      </w:r>
      <w:r>
        <w:rPr>
          <w:rFonts w:eastAsia="Times New Roman" w:cs="Times New Roman" w:ascii="Times New Roman" w:hAnsi="Times New Roman"/>
          <w:color w:val="000000"/>
          <w:sz w:val="26"/>
          <w:szCs w:val="26"/>
        </w:rPr>
        <w:t xml:space="preserve"> Shell Gas Pipeline Company, 76 FERC ¶ 61,126 (1996) (flexible firm rate schedules authorized for OCS pipeline as an exception to the Commission's fixed/variable rate policy).</w:t>
      </w:r>
    </w:p>
  </w:footnote>
  <w:footnote w:id="18">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Timely unopposed motions to intervene are granted by operation of Rule 214 of the Commission's Rules of Practice and Procedure. 18 CFR 385.214 (2000).</w:t>
      </w:r>
    </w:p>
  </w:footnote>
  <w:footnote w:id="19">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 xml:space="preserve">OCS Producers includes Amerada Hess Corp., Amoco Energy Trading Co., Burlington Resource Oil &amp; Gas Co., Chevron, USA, Inc., Conoco Inc., Exxon Mobil Corp., Kerr-McGee Corp., Marathon Oil Co., OXY USA Inc., Phillips Petroleum Co., Shell Oil Co., and Union Pacific Resources. </w:t>
      </w:r>
    </w:p>
  </w:footnote>
  <w:footnote w:id="20">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18 CFR 385.213 (2000).</w:t>
      </w:r>
    </w:p>
  </w:footnote>
  <w:footnote w:id="21">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rPr>
        <w:t xml:space="preserve">43 U.S.C. §1301 </w:t>
      </w:r>
      <w:r>
        <w:rPr>
          <w:rFonts w:eastAsia="Times New Roman" w:cs="Times New Roman" w:ascii="Times New Roman" w:hAnsi="Times New Roman"/>
          <w:color w:val="000000"/>
          <w:sz w:val="26"/>
          <w:szCs w:val="26"/>
          <w:u w:val="single"/>
        </w:rPr>
        <w:t>et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seq</w:t>
      </w:r>
      <w:r>
        <w:rPr>
          <w:rFonts w:eastAsia="Times New Roman" w:cs="Times New Roman" w:ascii="Times New Roman" w:hAnsi="Times New Roman"/>
          <w:color w:val="000000"/>
          <w:sz w:val="26"/>
          <w:szCs w:val="26"/>
        </w:rPr>
        <w:t>.</w:t>
      </w:r>
    </w:p>
  </w:footnote>
  <w:footnote w:id="22">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u w:val="single"/>
        </w:rPr>
        <w:t>e.g.</w:t>
      </w:r>
      <w:r>
        <w:rPr>
          <w:rFonts w:eastAsia="Times New Roman" w:cs="Times New Roman" w:ascii="Times New Roman" w:hAnsi="Times New Roman"/>
          <w:color w:val="000000"/>
          <w:sz w:val="26"/>
          <w:szCs w:val="26"/>
        </w:rPr>
        <w:t xml:space="preserve">, Northern Illinois Gas Co.and Southern California Gas Co., </w:t>
      </w:r>
      <w:r>
        <w:rPr>
          <w:rFonts w:eastAsia="Times New Roman" w:cs="Times New Roman" w:ascii="Times New Roman" w:hAnsi="Times New Roman"/>
          <w:color w:val="000000"/>
          <w:sz w:val="26"/>
          <w:szCs w:val="26"/>
        </w:rPr>
        <w:t xml:space="preserve">90 FERC  ¶  61,308 </w:t>
      </w:r>
      <w:r>
        <w:rPr>
          <w:rFonts w:eastAsia="Times New Roman" w:cs="Times New Roman" w:ascii="Times New Roman" w:hAnsi="Times New Roman"/>
          <w:color w:val="000000"/>
          <w:sz w:val="26"/>
          <w:szCs w:val="26"/>
        </w:rPr>
        <w:t>(2000) (proposed functional equivalent of a buy/sell arrangement rejected because it would undermine the Commission's capacity release program).</w:t>
      </w:r>
    </w:p>
  </w:footnote>
  <w:footnote w:id="23">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See</w:t>
      </w:r>
      <w:r>
        <w:rPr>
          <w:rFonts w:eastAsia="Times New Roman" w:cs="Times New Roman" w:ascii="Times New Roman" w:hAnsi="Times New Roman"/>
          <w:color w:val="000000"/>
          <w:sz w:val="26"/>
          <w:szCs w:val="26"/>
        </w:rPr>
        <w:t xml:space="preserve"> n. 1, </w:t>
      </w:r>
      <w:r>
        <w:rPr>
          <w:rFonts w:eastAsia="Times New Roman" w:cs="Times New Roman" w:ascii="Times New Roman" w:hAnsi="Times New Roman"/>
          <w:color w:val="000000"/>
          <w:sz w:val="26"/>
          <w:szCs w:val="26"/>
          <w:u w:val="single"/>
        </w:rPr>
        <w:t>supra</w:t>
      </w:r>
      <w:r>
        <w:rPr>
          <w:rFonts w:eastAsia="Times New Roman" w:cs="Times New Roman" w:ascii="Times New Roman" w:hAnsi="Times New Roman"/>
          <w:color w:val="000000"/>
          <w:sz w:val="26"/>
          <w:szCs w:val="26"/>
        </w:rPr>
        <w:t>.</w:t>
      </w:r>
    </w:p>
  </w:footnote>
  <w:footnote w:id="24">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 xml:space="preserve">The distinctions offered by MMS do not represent material differences between the RIK program and traditional buy/sell arrangements.  It does not matter, for instance, whether the RIK contractor "sells" the gas back to MMS or instead retains a certain amount of gas based on the results of the auction.  What matters is that in both types of programs, the entity holding capacity on an interstate pipeline effectively circumvents the capacity release requirements by arranging to hold "title" to another party's gas, which is then returned to that party after the gas has been transported.  These types of transactions are inconsistent with Commission policy as described in the cases cited herein. </w:t>
      </w:r>
    </w:p>
  </w:footnote>
  <w:footnote w:id="25">
    <w:p>
      <w:pPr>
        <w:pStyle w:val="Normal"/>
        <w:bidi w:val="0"/>
        <w:spacing w:lineRule="auto" w:line="240" w:before="0" w:after="0"/>
        <w:ind w:firstLine="720" w:start="0" w:end="0"/>
        <w:jc w:val="star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In the data response, MMS also states that it is testing several alternatives to the present auction system employed by its RIK program, but that replacement of the current auction may take as much as two years and involve considerable taxpayer expense.</w:t>
      </w:r>
    </w:p>
  </w:footnote>
  <w:footnote w:id="26">
    <w:p>
      <w:pPr>
        <w:pStyle w:val="Normal"/>
        <w:bidi w:val="0"/>
        <w:spacing w:lineRule="auto" w:line="240" w:before="0" w:after="0"/>
        <w:ind w:firstLine="720" w:start="0" w:end="0"/>
        <w:jc w:val="start"/>
        <w:rPr/>
      </w:pPr>
      <w:r>
        <w:rPr>
          <w:rStyle w:val="FootnoteSymbol"/>
        </w:rPr>
        <w:footnoteRef/>
      </w:r>
      <w:r>
        <w:rPr>
          <w:rFonts w:eastAsia="Times New Roman" w:cs="Times New Roman" w:ascii="Times New Roman" w:hAnsi="Times New Roman"/>
          <w:color w:val="000000"/>
          <w:sz w:val="26"/>
          <w:szCs w:val="26"/>
          <w:u w:val="single"/>
        </w:rPr>
        <w:t>Cf</w:t>
      </w:r>
      <w:r>
        <w:rPr>
          <w:rFonts w:eastAsia="Times New Roman" w:cs="Times New Roman" w:ascii="Times New Roman" w:hAnsi="Times New Roman"/>
          <w:color w:val="000000"/>
          <w:sz w:val="26"/>
          <w:szCs w:val="26"/>
        </w:rPr>
        <w:t>. Atlanta Gas Light Company, 84 FERC ¶ 61,119 (1998) (granting limited, one-year  waiver of the "shipper must have title" policy and regulations' notification and bidding requirements to permit applicant to roll over to designated marketers discounted firm transportation capacity on interstate pipeline).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Docket No. GP00-1-000                                                                               - </w:t>
    </w:r>
    <w:r>
      <w:rPr>
        <w:rFonts w:eastAsia="Times New Roman" w:cs="Times New Roman" w:ascii="Times New Roman" w:hAnsi="Times New Roman"/>
        <w:color w:val="000000"/>
        <w:sz w:val="26"/>
        <w:szCs w:val="26"/>
      </w:rPr>
      <w:fldChar w:fldCharType="begin"/>
    </w:r>
    <w:r>
      <w:rPr>
        <w:sz w:val="26"/>
        <w:szCs w:val="26"/>
        <w:rFonts w:eastAsia="Times New Roman" w:cs="Times New Roman" w:ascii="Times New Roman" w:hAnsi="Times New Roman"/>
        <w:color w:val="000000"/>
      </w:rPr>
      <w:instrText xml:space="preserve"> PAGE \* ARABIC </w:instrText>
    </w:r>
    <w:r>
      <w:rPr>
        <w:sz w:val="26"/>
        <w:szCs w:val="26"/>
        <w:rFonts w:eastAsia="Times New Roman" w:cs="Times New Roman" w:ascii="Times New Roman" w:hAnsi="Times New Roman"/>
        <w:color w:val="000000"/>
      </w:rPr>
      <w:fldChar w:fldCharType="separate"/>
    </w:r>
    <w:r>
      <w:rPr>
        <w:sz w:val="26"/>
        <w:szCs w:val="26"/>
        <w:rFonts w:eastAsia="Times New Roman" w:cs="Times New Roman" w:ascii="Times New Roman" w:hAnsi="Times New Roman"/>
        <w:color w:val="000000"/>
      </w:rPr>
      <w:t>13</w:t>
    </w:r>
    <w:r>
      <w:rPr>
        <w:sz w:val="26"/>
        <w:szCs w:val="26"/>
        <w:rFonts w:eastAsia="Times New Roman" w:cs="Times New Roman" w:ascii="Times New Roman" w:hAnsi="Times New Roman"/>
        <w:color w:val="000000"/>
      </w:rPr>
      <w:fldChar w:fldCharType="end"/>
    </w:r>
    <w:r>
      <w:rPr>
        <w:rFonts w:eastAsia="Times New Roman" w:cs="Times New Roman" w:ascii="Times New Roman" w:hAnsi="Times New Roman"/>
        <w:color w:val="000000"/>
        <w:sz w:val="26"/>
        <w:szCs w:val="26"/>
      </w:rPr>
      <w:t xml:space="preserve"> -</w:t>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