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TO ALL GOVERNMENTAL AFFAIRS/REGULATORY STAFF</w:t>
      </w:r>
    </w:p>
    <w:p>
      <w:pPr>
        <w:pStyle w:val="Heading1"/>
        <w:ind w:hanging="0" w:start="0"/>
        <w:rPr>
          <w:b/>
        </w:rPr>
      </w:pPr>
      <w:r>
        <w:rPr>
          <w:b/>
        </w:rPr>
      </w:r>
    </w:p>
    <w:p>
      <w:pPr>
        <w:pStyle w:val="Normal"/>
        <w:jc w:val="center"/>
        <w:rPr>
          <w:b/>
          <w:i/>
          <w:i/>
          <w:sz w:val="24"/>
        </w:rPr>
      </w:pPr>
      <w:r>
        <w:rPr>
          <w:b/>
          <w:i/>
          <w:sz w:val="24"/>
        </w:rPr>
        <w:t>REQUEST FOR JOINT MARKETING EFFORT WITH</w:t>
      </w:r>
    </w:p>
    <w:p>
      <w:pPr>
        <w:pStyle w:val="Heading1"/>
        <w:ind w:hanging="0" w:start="0"/>
        <w:jc w:val="center"/>
        <w:rPr>
          <w:b/>
          <w:i/>
          <w:i/>
        </w:rPr>
      </w:pPr>
      <w:r>
        <w:rPr>
          <w:b/>
          <w:i/>
        </w:rPr>
        <w:t>DOWNSTREAM (INDUSTRIAL) ORIGINATION</w:t>
      </w:r>
    </w:p>
    <w:p>
      <w:pPr>
        <w:pStyle w:val="Normal"/>
        <w:rPr>
          <w:b/>
          <w:i/>
          <w:i/>
        </w:rPr>
      </w:pPr>
      <w:r>
        <w:rPr>
          <w:b/>
          <w:i/>
        </w:rPr>
      </w:r>
    </w:p>
    <w:p>
      <w:pPr>
        <w:pStyle w:val="Normal"/>
        <w:jc w:val="both"/>
        <w:rPr>
          <w:sz w:val="24"/>
        </w:rPr>
      </w:pPr>
      <w:r>
        <w:rPr>
          <w:sz w:val="24"/>
        </w:rPr>
        <w:t xml:space="preserve">Please be advised that ENA now has a Downstream Coverage/Origination group focused on delivering a broad range of Enron products and services to the heavy industrial customers including pulp and paper, chemicals, plastics, refined products, metals and mining, heavy manufacturing, industrial gases, fertilizers, transportation, textiles and glass manufacturing. </w:t>
      </w:r>
    </w:p>
    <w:p>
      <w:pPr>
        <w:pStyle w:val="Normal"/>
        <w:jc w:val="both"/>
        <w:rPr>
          <w:sz w:val="24"/>
        </w:rPr>
      </w:pPr>
      <w:r>
        <w:rPr>
          <w:sz w:val="24"/>
        </w:rPr>
      </w:r>
    </w:p>
    <w:p>
      <w:pPr>
        <w:pStyle w:val="Normal"/>
        <w:jc w:val="both"/>
        <w:rPr>
          <w:sz w:val="24"/>
        </w:rPr>
      </w:pPr>
      <w:r>
        <w:rPr>
          <w:sz w:val="24"/>
        </w:rPr>
        <w:t xml:space="preserve">As energy deregulation continues in North America, the industrial sector is becoming an increasingly important customer market for Enron.  The Origination team was formed to create and market innovative solutions deploying all the capabilities of Enron including: </w:t>
      </w:r>
    </w:p>
    <w:p>
      <w:pPr>
        <w:pStyle w:val="Normal"/>
        <w:jc w:val="both"/>
        <w:rPr>
          <w:sz w:val="24"/>
        </w:rPr>
      </w:pPr>
      <w:r>
        <w:rPr>
          <w:sz w:val="24"/>
        </w:rPr>
      </w:r>
    </w:p>
    <w:p>
      <w:pPr>
        <w:pStyle w:val="Normal"/>
        <w:numPr>
          <w:ilvl w:val="0"/>
          <w:numId w:val="2"/>
        </w:numPr>
        <w:jc w:val="both"/>
        <w:rPr>
          <w:sz w:val="24"/>
        </w:rPr>
      </w:pPr>
      <w:r>
        <w:rPr>
          <w:sz w:val="24"/>
        </w:rPr>
        <w:t>Power Outsourcing (Specific sites as well as nationwide)</w:t>
      </w:r>
    </w:p>
    <w:p>
      <w:pPr>
        <w:pStyle w:val="Normal"/>
        <w:numPr>
          <w:ilvl w:val="0"/>
          <w:numId w:val="2"/>
        </w:numPr>
        <w:jc w:val="both"/>
        <w:rPr>
          <w:sz w:val="24"/>
        </w:rPr>
      </w:pPr>
      <w:r>
        <w:rPr>
          <w:sz w:val="24"/>
        </w:rPr>
        <w:t>Commodity Supply (Gas/Electric)</w:t>
      </w:r>
    </w:p>
    <w:p>
      <w:pPr>
        <w:pStyle w:val="Normal"/>
        <w:numPr>
          <w:ilvl w:val="0"/>
          <w:numId w:val="2"/>
        </w:numPr>
        <w:jc w:val="both"/>
        <w:rPr>
          <w:sz w:val="24"/>
        </w:rPr>
      </w:pPr>
      <w:r>
        <w:rPr>
          <w:sz w:val="24"/>
        </w:rPr>
        <w:t>Commodity offtake (Petrochemicals, pulp and paper, refined products)</w:t>
      </w:r>
    </w:p>
    <w:p>
      <w:pPr>
        <w:pStyle w:val="Normal"/>
        <w:numPr>
          <w:ilvl w:val="0"/>
          <w:numId w:val="2"/>
        </w:numPr>
        <w:jc w:val="both"/>
        <w:rPr>
          <w:sz w:val="24"/>
        </w:rPr>
      </w:pPr>
      <w:r>
        <w:rPr>
          <w:sz w:val="24"/>
        </w:rPr>
        <w:t>System optionality (Valuation of peak/off-peak, ramp up/ramp down power plays)</w:t>
      </w:r>
    </w:p>
    <w:p>
      <w:pPr>
        <w:pStyle w:val="Normal"/>
        <w:numPr>
          <w:ilvl w:val="0"/>
          <w:numId w:val="2"/>
        </w:numPr>
        <w:jc w:val="both"/>
        <w:rPr>
          <w:sz w:val="24"/>
        </w:rPr>
      </w:pPr>
      <w:r>
        <w:rPr>
          <w:sz w:val="24"/>
        </w:rPr>
        <w:t>Structured financings for mergers/ acquisitions/ capital improvements</w:t>
      </w:r>
    </w:p>
    <w:p>
      <w:pPr>
        <w:pStyle w:val="Normal"/>
        <w:numPr>
          <w:ilvl w:val="0"/>
          <w:numId w:val="2"/>
        </w:numPr>
        <w:jc w:val="both"/>
        <w:rPr>
          <w:sz w:val="24"/>
        </w:rPr>
      </w:pPr>
      <w:r>
        <w:rPr>
          <w:sz w:val="24"/>
        </w:rPr>
        <w:t>Cross commodity swaps</w:t>
      </w:r>
    </w:p>
    <w:p>
      <w:pPr>
        <w:pStyle w:val="Normal"/>
        <w:numPr>
          <w:ilvl w:val="0"/>
          <w:numId w:val="2"/>
        </w:numPr>
        <w:jc w:val="both"/>
        <w:rPr>
          <w:sz w:val="24"/>
        </w:rPr>
      </w:pPr>
      <w:r>
        <w:rPr>
          <w:sz w:val="24"/>
        </w:rPr>
        <w:t>Co-generation , asset development or modernization opportunities</w:t>
      </w:r>
    </w:p>
    <w:p>
      <w:pPr>
        <w:pStyle w:val="Normal"/>
        <w:numPr>
          <w:ilvl w:val="0"/>
          <w:numId w:val="2"/>
        </w:numPr>
        <w:jc w:val="both"/>
        <w:rPr>
          <w:sz w:val="24"/>
        </w:rPr>
      </w:pPr>
      <w:r>
        <w:rPr>
          <w:sz w:val="24"/>
        </w:rPr>
        <w:t>Strategic partner or joint venture possibilities</w:t>
      </w:r>
    </w:p>
    <w:p>
      <w:pPr>
        <w:pStyle w:val="Normal"/>
        <w:jc w:val="both"/>
        <w:rPr>
          <w:sz w:val="24"/>
        </w:rPr>
      </w:pPr>
      <w:r>
        <w:rPr>
          <w:sz w:val="24"/>
        </w:rPr>
      </w:r>
    </w:p>
    <w:p>
      <w:pPr>
        <w:pStyle w:val="Normal"/>
        <w:jc w:val="both"/>
        <w:rPr>
          <w:sz w:val="24"/>
        </w:rPr>
      </w:pPr>
      <w:r>
        <w:rPr>
          <w:sz w:val="24"/>
        </w:rPr>
        <w:t>Recognizing the Regulatory Staff’s contacts at the Federal, State, council and industrial coalition levels, it is important that we cross market whenever possible.   Your input will provide valuable leads and information about client needs and wishes.  Your further input on the impact of deregulation on these customer’s businesses is desired.</w:t>
      </w:r>
    </w:p>
    <w:p>
      <w:pPr>
        <w:pStyle w:val="Normal"/>
        <w:jc w:val="both"/>
        <w:rPr>
          <w:sz w:val="24"/>
        </w:rPr>
      </w:pPr>
      <w:r>
        <w:rPr>
          <w:sz w:val="24"/>
        </w:rPr>
      </w:r>
    </w:p>
    <w:p>
      <w:pPr>
        <w:pStyle w:val="Normal"/>
        <w:jc w:val="both"/>
        <w:rPr>
          <w:sz w:val="24"/>
        </w:rPr>
      </w:pPr>
      <w:r>
        <w:rPr>
          <w:sz w:val="24"/>
        </w:rPr>
        <w:t>Below you will find a contact list for the Industrial Origination group.  Please call upon us for any business opportunities that may come your way, any cross-selling, joint call opportunities, conferences of interest, etc.</w:t>
      </w:r>
    </w:p>
    <w:p>
      <w:pPr>
        <w:pStyle w:val="Normal"/>
        <w:jc w:val="both"/>
        <w:rPr>
          <w:sz w:val="24"/>
        </w:rPr>
      </w:pPr>
      <w:r>
        <w:rPr>
          <w:sz w:val="24"/>
        </w:rPr>
      </w:r>
    </w:p>
    <w:p>
      <w:pPr>
        <w:pStyle w:val="Normal"/>
        <w:jc w:val="both"/>
        <w:rPr>
          <w:sz w:val="24"/>
        </w:rPr>
      </w:pPr>
      <w:r>
        <w:rPr>
          <w:sz w:val="24"/>
        </w:rPr>
        <w:t>We thank you for your continued efforts and look forward to working together.</w:t>
      </w:r>
      <w:r>
        <w:br w:type="page"/>
      </w:r>
    </w:p>
    <w:p>
      <w:pPr>
        <w:pStyle w:val="Normal"/>
        <w:rPr>
          <w:sz w:val="24"/>
        </w:rPr>
      </w:pPr>
      <w:r>
        <w:rPr>
          <w:sz w:val="24"/>
        </w:rPr>
      </w:r>
    </w:p>
    <w:tbl>
      <w:tblPr>
        <w:tblW w:w="8670" w:type="dxa"/>
        <w:jc w:val="start"/>
        <w:tblInd w:w="0" w:type="dxa"/>
        <w:tblLayout w:type="fixed"/>
        <w:tblCellMar>
          <w:top w:w="0" w:type="dxa"/>
          <w:start w:w="30" w:type="dxa"/>
          <w:bottom w:w="0" w:type="dxa"/>
          <w:end w:w="30" w:type="dxa"/>
        </w:tblCellMar>
      </w:tblPr>
      <w:tblGrid>
        <w:gridCol w:w="1858"/>
        <w:gridCol w:w="2852"/>
        <w:gridCol w:w="1800"/>
        <w:gridCol w:w="2160"/>
      </w:tblGrid>
      <w:tr>
        <w:trPr>
          <w:trHeight w:val="442" w:hRule="atLeast"/>
        </w:trPr>
        <w:tc>
          <w:tcPr>
            <w:tcW w:w="1858" w:type="dxa"/>
            <w:tcBorders>
              <w:top w:val="single" w:sz="12" w:space="0" w:color="000000"/>
              <w:start w:val="single" w:sz="12" w:space="0" w:color="000000"/>
              <w:bottom w:val="single" w:sz="6" w:space="0" w:color="000000"/>
              <w:end w:val="single" w:sz="6" w:space="0" w:color="000000"/>
            </w:tcBorders>
            <w:shd w:fill="D8D8D8" w:val="clear"/>
          </w:tcPr>
          <w:p>
            <w:pPr>
              <w:pStyle w:val="Normal"/>
              <w:jc w:val="center"/>
              <w:rPr>
                <w:rFonts w:ascii="Arial" w:hAnsi="Arial" w:cs="Arial"/>
                <w:b/>
                <w:i/>
                <w:i/>
                <w:color w:val="000000"/>
                <w:lang w:eastAsia="en-US"/>
              </w:rPr>
            </w:pPr>
            <w:r>
              <w:rPr>
                <w:rFonts w:cs="Arial" w:ascii="Arial" w:hAnsi="Arial"/>
                <w:b/>
                <w:i/>
                <w:color w:val="000000"/>
                <w:lang w:eastAsia="en-US"/>
              </w:rPr>
              <w:t>Name</w:t>
            </w:r>
          </w:p>
        </w:tc>
        <w:tc>
          <w:tcPr>
            <w:tcW w:w="2852" w:type="dxa"/>
            <w:tcBorders>
              <w:top w:val="single" w:sz="12" w:space="0" w:color="000000"/>
              <w:start w:val="single" w:sz="6" w:space="0" w:color="000000"/>
              <w:bottom w:val="single" w:sz="6" w:space="0" w:color="000000"/>
              <w:end w:val="single" w:sz="6" w:space="0" w:color="000000"/>
            </w:tcBorders>
            <w:shd w:fill="D8D8D8" w:val="clear"/>
          </w:tcPr>
          <w:p>
            <w:pPr>
              <w:pStyle w:val="Normal"/>
              <w:jc w:val="center"/>
              <w:rPr>
                <w:rFonts w:ascii="Arial" w:hAnsi="Arial" w:cs="Arial"/>
                <w:b/>
                <w:i/>
                <w:i/>
                <w:color w:val="000000"/>
                <w:lang w:eastAsia="en-US"/>
              </w:rPr>
            </w:pPr>
            <w:r>
              <w:rPr>
                <w:rFonts w:cs="Arial" w:ascii="Arial" w:hAnsi="Arial"/>
                <w:b/>
                <w:i/>
                <w:color w:val="000000"/>
                <w:lang w:eastAsia="en-US"/>
              </w:rPr>
              <w:t>Title, Responsibilities</w:t>
            </w:r>
          </w:p>
        </w:tc>
        <w:tc>
          <w:tcPr>
            <w:tcW w:w="1800" w:type="dxa"/>
            <w:tcBorders>
              <w:top w:val="single" w:sz="12" w:space="0" w:color="000000"/>
              <w:start w:val="single" w:sz="6" w:space="0" w:color="000000"/>
              <w:bottom w:val="single" w:sz="6" w:space="0" w:color="000000"/>
              <w:end w:val="single" w:sz="6" w:space="0" w:color="000000"/>
            </w:tcBorders>
            <w:shd w:fill="D8D8D8" w:val="clear"/>
          </w:tcPr>
          <w:p>
            <w:pPr>
              <w:pStyle w:val="Normal"/>
              <w:jc w:val="center"/>
              <w:rPr>
                <w:rFonts w:ascii="Arial" w:hAnsi="Arial" w:cs="Arial"/>
                <w:b/>
                <w:i/>
                <w:i/>
                <w:color w:val="000000"/>
                <w:lang w:eastAsia="en-US"/>
              </w:rPr>
            </w:pPr>
            <w:r>
              <w:rPr>
                <w:rFonts w:cs="Arial" w:ascii="Arial" w:hAnsi="Arial"/>
                <w:b/>
                <w:i/>
                <w:color w:val="000000"/>
                <w:lang w:eastAsia="en-US"/>
              </w:rPr>
              <w:t>Office Phone (713)</w:t>
            </w:r>
          </w:p>
        </w:tc>
        <w:tc>
          <w:tcPr>
            <w:tcW w:w="2160" w:type="dxa"/>
            <w:tcBorders>
              <w:top w:val="single" w:sz="12" w:space="0" w:color="000000"/>
              <w:start w:val="single" w:sz="6" w:space="0" w:color="000000"/>
              <w:bottom w:val="single" w:sz="6" w:space="0" w:color="000000"/>
              <w:end w:val="single" w:sz="6" w:space="0" w:color="000000"/>
            </w:tcBorders>
            <w:shd w:fill="D8D8D8" w:val="clear"/>
          </w:tcPr>
          <w:p>
            <w:pPr>
              <w:pStyle w:val="Normal"/>
              <w:jc w:val="center"/>
              <w:rPr>
                <w:rFonts w:ascii="Arial" w:hAnsi="Arial" w:cs="Arial"/>
                <w:b/>
                <w:i/>
                <w:i/>
                <w:color w:val="000000"/>
                <w:lang w:eastAsia="en-US"/>
              </w:rPr>
            </w:pPr>
            <w:r>
              <w:rPr>
                <w:rFonts w:cs="Arial" w:ascii="Arial" w:hAnsi="Arial"/>
                <w:b/>
                <w:i/>
                <w:color w:val="000000"/>
                <w:lang w:eastAsia="en-US"/>
              </w:rPr>
              <w:t>Location - Houston</w:t>
            </w:r>
          </w:p>
          <w:p>
            <w:pPr>
              <w:pStyle w:val="Normal"/>
              <w:jc w:val="center"/>
              <w:rPr>
                <w:rFonts w:ascii="Arial" w:hAnsi="Arial" w:cs="Arial"/>
                <w:b/>
                <w:i/>
                <w:i/>
                <w:color w:val="000000"/>
                <w:lang w:eastAsia="en-US"/>
              </w:rPr>
            </w:pPr>
            <w:r>
              <w:rPr>
                <w:rFonts w:cs="Arial" w:ascii="Arial" w:hAnsi="Arial"/>
                <w:b/>
                <w:i/>
                <w:color w:val="000000"/>
                <w:lang w:eastAsia="en-US"/>
              </w:rPr>
              <w:t>Enron Building</w:t>
            </w:r>
          </w:p>
        </w:tc>
      </w:tr>
      <w:tr>
        <w:trPr>
          <w:trHeight w:val="235" w:hRule="atLeast"/>
        </w:trPr>
        <w:tc>
          <w:tcPr>
            <w:tcW w:w="1858" w:type="dxa"/>
            <w:tcBorders>
              <w:start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Ajello, Jim</w:t>
            </w:r>
          </w:p>
        </w:tc>
        <w:tc>
          <w:tcPr>
            <w:tcW w:w="2852" w:type="dxa"/>
            <w:tcBorders>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VP, Downstream Origination (Refining, Chemicals, Diversified Industrials)</w:t>
            </w:r>
          </w:p>
        </w:tc>
        <w:tc>
          <w:tcPr>
            <w:tcW w:w="1800" w:type="dxa"/>
            <w:tcBorders>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853-1949</w:t>
            </w:r>
          </w:p>
        </w:tc>
        <w:tc>
          <w:tcPr>
            <w:tcW w:w="2160" w:type="dxa"/>
            <w:tcBorders>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2994e</w:t>
            </w:r>
          </w:p>
        </w:tc>
      </w:tr>
      <w:tr>
        <w:trPr>
          <w:trHeight w:val="235" w:hRule="atLeast"/>
        </w:trPr>
        <w:tc>
          <w:tcPr>
            <w:tcW w:w="1858" w:type="dxa"/>
            <w:tcBorders>
              <w:top w:val="single" w:sz="6" w:space="0" w:color="000000"/>
              <w:start w:val="single" w:sz="12" w:space="0" w:color="000000"/>
              <w:bottom w:val="single" w:sz="6" w:space="0" w:color="000000"/>
            </w:tcBorders>
            <w:shd w:fill="D8D8D8" w:val="clear"/>
          </w:tcPr>
          <w:p>
            <w:pPr>
              <w:pStyle w:val="Normal"/>
              <w:snapToGrid w:val="false"/>
              <w:rPr>
                <w:rFonts w:ascii="Arial" w:hAnsi="Arial" w:cs="Arial"/>
                <w:color w:val="000000"/>
                <w:lang w:eastAsia="en-US"/>
              </w:rPr>
            </w:pPr>
            <w:r>
              <w:rPr>
                <w:rFonts w:cs="Arial" w:ascii="Arial" w:hAnsi="Arial"/>
                <w:color w:val="000000"/>
                <w:lang w:eastAsia="en-US"/>
              </w:rPr>
            </w:r>
          </w:p>
        </w:tc>
        <w:tc>
          <w:tcPr>
            <w:tcW w:w="2852" w:type="dxa"/>
            <w:tcBorders>
              <w:top w:val="single" w:sz="6" w:space="0" w:color="000000"/>
              <w:bottom w:val="single" w:sz="6" w:space="0" w:color="000000"/>
            </w:tcBorders>
            <w:shd w:fill="D8D8D8" w:val="clear"/>
          </w:tcPr>
          <w:p>
            <w:pPr>
              <w:pStyle w:val="Normal"/>
              <w:snapToGrid w:val="false"/>
              <w:rPr>
                <w:rFonts w:ascii="Arial" w:hAnsi="Arial" w:cs="Arial"/>
                <w:color w:val="000000"/>
                <w:lang w:eastAsia="en-US"/>
              </w:rPr>
            </w:pPr>
            <w:r>
              <w:rPr>
                <w:rFonts w:cs="Arial" w:ascii="Arial" w:hAnsi="Arial"/>
                <w:color w:val="000000"/>
                <w:lang w:eastAsia="en-US"/>
              </w:rPr>
            </w:r>
          </w:p>
        </w:tc>
        <w:tc>
          <w:tcPr>
            <w:tcW w:w="1800" w:type="dxa"/>
            <w:tcBorders>
              <w:top w:val="single" w:sz="6" w:space="0" w:color="000000"/>
              <w:bottom w:val="single" w:sz="6" w:space="0" w:color="000000"/>
            </w:tcBorders>
            <w:shd w:fill="D8D8D8"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160" w:type="dxa"/>
            <w:tcBorders>
              <w:top w:val="single" w:sz="6" w:space="0" w:color="000000"/>
              <w:bottom w:val="single" w:sz="6" w:space="0" w:color="000000"/>
              <w:end w:val="single" w:sz="6" w:space="0" w:color="000000"/>
            </w:tcBorders>
            <w:shd w:fill="D8D8D8" w:val="clear"/>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858" w:type="dxa"/>
            <w:tcBorders>
              <w:top w:val="single" w:sz="6" w:space="0" w:color="000000"/>
              <w:start w:val="single" w:sz="12"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28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Refining, Chemicals</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i/>
                <w:i/>
                <w:color w:val="000000"/>
                <w:lang w:eastAsia="en-US"/>
              </w:rPr>
            </w:pPr>
            <w:r>
              <w:rPr>
                <w:rFonts w:cs="Arial" w:ascii="Arial" w:hAnsi="Arial"/>
                <w:b/>
                <w:i/>
                <w:color w:val="000000"/>
                <w:lang w:eastAsia="en-US"/>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85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Crump, Jim</w:t>
            </w:r>
          </w:p>
        </w:tc>
        <w:tc>
          <w:tcPr>
            <w:tcW w:w="28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Director, Refining, Chemicals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853-1533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2994b</w:t>
            </w:r>
          </w:p>
        </w:tc>
      </w:tr>
      <w:tr>
        <w:trPr>
          <w:trHeight w:val="235" w:hRule="atLeast"/>
        </w:trPr>
        <w:tc>
          <w:tcPr>
            <w:tcW w:w="185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King, Wendy</w:t>
            </w:r>
          </w:p>
        </w:tc>
        <w:tc>
          <w:tcPr>
            <w:tcW w:w="28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Manager, Refining, Chemicals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853-5814</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2994a</w:t>
            </w:r>
          </w:p>
        </w:tc>
      </w:tr>
      <w:tr>
        <w:trPr>
          <w:trHeight w:val="235" w:hRule="atLeast"/>
        </w:trPr>
        <w:tc>
          <w:tcPr>
            <w:tcW w:w="185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Wilson, Andrew</w:t>
            </w:r>
          </w:p>
        </w:tc>
        <w:tc>
          <w:tcPr>
            <w:tcW w:w="28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Manager, Refining, Chemicals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853-1569</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2995c</w:t>
            </w:r>
          </w:p>
        </w:tc>
      </w:tr>
      <w:tr>
        <w:trPr>
          <w:trHeight w:val="235" w:hRule="atLeast"/>
        </w:trPr>
        <w:tc>
          <w:tcPr>
            <w:tcW w:w="1858" w:type="dxa"/>
            <w:tcBorders>
              <w:top w:val="single" w:sz="6" w:space="0" w:color="000000"/>
              <w:start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Wright, Glenn T.</w:t>
            </w:r>
          </w:p>
        </w:tc>
        <w:tc>
          <w:tcPr>
            <w:tcW w:w="2852"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Director, Refining, Chemicals</w:t>
            </w:r>
          </w:p>
        </w:tc>
        <w:tc>
          <w:tcPr>
            <w:tcW w:w="1800"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853-1568</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2994c</w:t>
            </w:r>
          </w:p>
        </w:tc>
      </w:tr>
      <w:tr>
        <w:trPr>
          <w:trHeight w:val="235" w:hRule="atLeast"/>
        </w:trPr>
        <w:tc>
          <w:tcPr>
            <w:tcW w:w="1858" w:type="dxa"/>
            <w:tcBorders>
              <w:top w:val="single" w:sz="6" w:space="0" w:color="000000"/>
              <w:start w:val="single" w:sz="12" w:space="0" w:color="000000"/>
              <w:bottom w:val="single" w:sz="6" w:space="0" w:color="000000"/>
            </w:tcBorders>
            <w:shd w:fill="D8D8D8" w:val="clear"/>
          </w:tcPr>
          <w:p>
            <w:pPr>
              <w:pStyle w:val="Normal"/>
              <w:snapToGrid w:val="false"/>
              <w:rPr>
                <w:rFonts w:ascii="Arial" w:hAnsi="Arial" w:cs="Arial"/>
                <w:color w:val="000000"/>
                <w:lang w:eastAsia="en-US"/>
              </w:rPr>
            </w:pPr>
            <w:r>
              <w:rPr>
                <w:rFonts w:cs="Arial" w:ascii="Arial" w:hAnsi="Arial"/>
                <w:color w:val="000000"/>
                <w:lang w:eastAsia="en-US"/>
              </w:rPr>
            </w:r>
          </w:p>
        </w:tc>
        <w:tc>
          <w:tcPr>
            <w:tcW w:w="2852" w:type="dxa"/>
            <w:tcBorders>
              <w:top w:val="single" w:sz="6" w:space="0" w:color="000000"/>
              <w:bottom w:val="single" w:sz="6" w:space="0" w:color="000000"/>
            </w:tcBorders>
            <w:shd w:fill="D8D8D8" w:val="clear"/>
          </w:tcPr>
          <w:p>
            <w:pPr>
              <w:pStyle w:val="Normal"/>
              <w:snapToGrid w:val="false"/>
              <w:rPr>
                <w:rFonts w:ascii="Arial" w:hAnsi="Arial" w:cs="Arial"/>
                <w:color w:val="000000"/>
                <w:lang w:eastAsia="en-US"/>
              </w:rPr>
            </w:pPr>
            <w:r>
              <w:rPr>
                <w:rFonts w:cs="Arial" w:ascii="Arial" w:hAnsi="Arial"/>
                <w:color w:val="000000"/>
                <w:lang w:eastAsia="en-US"/>
              </w:rPr>
            </w:r>
          </w:p>
        </w:tc>
        <w:tc>
          <w:tcPr>
            <w:tcW w:w="1800" w:type="dxa"/>
            <w:tcBorders>
              <w:top w:val="single" w:sz="6" w:space="0" w:color="000000"/>
              <w:bottom w:val="single" w:sz="6" w:space="0" w:color="000000"/>
            </w:tcBorders>
            <w:shd w:fill="D8D8D8"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160" w:type="dxa"/>
            <w:tcBorders>
              <w:top w:val="single" w:sz="6" w:space="0" w:color="000000"/>
              <w:bottom w:val="single" w:sz="6" w:space="0" w:color="000000"/>
              <w:end w:val="single" w:sz="6" w:space="0" w:color="000000"/>
            </w:tcBorders>
            <w:shd w:fill="D8D8D8" w:val="clear"/>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858" w:type="dxa"/>
            <w:tcBorders>
              <w:top w:val="single" w:sz="6" w:space="0" w:color="000000"/>
              <w:start w:val="single" w:sz="12"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28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Diversified Industrials – Metals, Fertilizer, Heavy Industrials</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i/>
                <w:i/>
                <w:color w:val="000000"/>
                <w:lang w:eastAsia="en-US"/>
              </w:rPr>
            </w:pPr>
            <w:r>
              <w:rPr>
                <w:rFonts w:cs="Arial" w:ascii="Arial" w:hAnsi="Arial"/>
                <w:b/>
                <w:i/>
                <w:color w:val="000000"/>
                <w:lang w:eastAsia="en-US"/>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85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Hermans, Greg</w:t>
            </w:r>
          </w:p>
        </w:tc>
        <w:tc>
          <w:tcPr>
            <w:tcW w:w="28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Vice President, Metals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345-7415</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2998e</w:t>
            </w:r>
          </w:p>
        </w:tc>
      </w:tr>
      <w:tr>
        <w:trPr>
          <w:trHeight w:val="235" w:hRule="atLeast"/>
        </w:trPr>
        <w:tc>
          <w:tcPr>
            <w:tcW w:w="185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Mulrooney, Tammy</w:t>
            </w:r>
          </w:p>
        </w:tc>
        <w:tc>
          <w:tcPr>
            <w:tcW w:w="28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Director, Metals, Heavy Industrials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853-4757</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2998d</w:t>
            </w:r>
          </w:p>
        </w:tc>
      </w:tr>
      <w:tr>
        <w:trPr>
          <w:trHeight w:val="235" w:hRule="atLeast"/>
        </w:trPr>
        <w:tc>
          <w:tcPr>
            <w:tcW w:w="1858" w:type="dxa"/>
            <w:tcBorders>
              <w:top w:val="single" w:sz="6" w:space="0" w:color="000000"/>
              <w:start w:val="single" w:sz="1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Roberts, Cuthbert</w:t>
            </w:r>
          </w:p>
        </w:tc>
        <w:tc>
          <w:tcPr>
            <w:tcW w:w="2852"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Director, Mining &amp; Metals, Fertilizer</w:t>
            </w:r>
          </w:p>
        </w:tc>
        <w:tc>
          <w:tcPr>
            <w:tcW w:w="1800"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345-8911</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2998c</w:t>
            </w:r>
          </w:p>
        </w:tc>
      </w:tr>
      <w:tr>
        <w:trPr>
          <w:trHeight w:val="235" w:hRule="atLeast"/>
        </w:trPr>
        <w:tc>
          <w:tcPr>
            <w:tcW w:w="1858" w:type="dxa"/>
            <w:tcBorders>
              <w:top w:val="single" w:sz="6" w:space="0" w:color="000000"/>
              <w:start w:val="single" w:sz="12" w:space="0" w:color="000000"/>
              <w:bottom w:val="single" w:sz="6" w:space="0" w:color="000000"/>
            </w:tcBorders>
            <w:shd w:fill="D8D8D8" w:val="clear"/>
          </w:tcPr>
          <w:p>
            <w:pPr>
              <w:pStyle w:val="Normal"/>
              <w:snapToGrid w:val="false"/>
              <w:rPr>
                <w:rFonts w:ascii="Arial" w:hAnsi="Arial" w:cs="Arial"/>
                <w:color w:val="000000"/>
                <w:lang w:eastAsia="en-US"/>
              </w:rPr>
            </w:pPr>
            <w:r>
              <w:rPr>
                <w:rFonts w:cs="Arial" w:ascii="Arial" w:hAnsi="Arial"/>
                <w:color w:val="000000"/>
                <w:lang w:eastAsia="en-US"/>
              </w:rPr>
            </w:r>
          </w:p>
        </w:tc>
        <w:tc>
          <w:tcPr>
            <w:tcW w:w="2852" w:type="dxa"/>
            <w:tcBorders>
              <w:top w:val="single" w:sz="6" w:space="0" w:color="000000"/>
              <w:bottom w:val="single" w:sz="6" w:space="0" w:color="000000"/>
            </w:tcBorders>
            <w:shd w:fill="D8D8D8" w:val="clear"/>
          </w:tcPr>
          <w:p>
            <w:pPr>
              <w:pStyle w:val="Normal"/>
              <w:snapToGrid w:val="false"/>
              <w:rPr>
                <w:rFonts w:ascii="Arial" w:hAnsi="Arial" w:cs="Arial"/>
                <w:color w:val="000000"/>
                <w:lang w:eastAsia="en-US"/>
              </w:rPr>
            </w:pPr>
            <w:r>
              <w:rPr>
                <w:rFonts w:cs="Arial" w:ascii="Arial" w:hAnsi="Arial"/>
                <w:color w:val="000000"/>
                <w:lang w:eastAsia="en-US"/>
              </w:rPr>
            </w:r>
          </w:p>
        </w:tc>
        <w:tc>
          <w:tcPr>
            <w:tcW w:w="1800" w:type="dxa"/>
            <w:tcBorders>
              <w:top w:val="single" w:sz="6" w:space="0" w:color="000000"/>
              <w:bottom w:val="single" w:sz="6" w:space="0" w:color="000000"/>
            </w:tcBorders>
            <w:shd w:fill="D8D8D8"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160" w:type="dxa"/>
            <w:tcBorders>
              <w:top w:val="single" w:sz="6" w:space="0" w:color="000000"/>
              <w:bottom w:val="single" w:sz="6" w:space="0" w:color="000000"/>
              <w:end w:val="single" w:sz="6" w:space="0" w:color="000000"/>
            </w:tcBorders>
            <w:shd w:fill="D8D8D8" w:val="clear"/>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858" w:type="dxa"/>
            <w:tcBorders>
              <w:top w:val="single" w:sz="6" w:space="0" w:color="000000"/>
              <w:start w:val="single" w:sz="12"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28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Pulp &amp; Paper</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i/>
                <w:i/>
                <w:color w:val="000000"/>
                <w:lang w:eastAsia="en-US"/>
              </w:rPr>
            </w:pPr>
            <w:r>
              <w:rPr>
                <w:rFonts w:cs="Arial" w:ascii="Arial" w:hAnsi="Arial"/>
                <w:b/>
                <w:i/>
                <w:color w:val="000000"/>
                <w:lang w:eastAsia="en-US"/>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35" w:hRule="atLeast"/>
        </w:trPr>
        <w:tc>
          <w:tcPr>
            <w:tcW w:w="185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Ondarza, Edward</w:t>
            </w:r>
          </w:p>
        </w:tc>
        <w:tc>
          <w:tcPr>
            <w:tcW w:w="28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Vice President, Pulp &amp; Paper</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853-6058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2911d</w:t>
            </w:r>
          </w:p>
        </w:tc>
      </w:tr>
    </w:tbl>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2000-04-26T17:31:00Z</dcterms:created>
  <dc:creator>wking</dc:creator>
  <dc:description/>
  <dc:language>en-CA</dc:language>
  <cp:lastModifiedBy>wking</cp:lastModifiedBy>
  <cp:lastPrinted>2000-04-26T13:37:00Z</cp:lastPrinted>
  <dcterms:modified xsi:type="dcterms:W3CDTF">2000-04-26T17:31:00Z</dcterms:modified>
  <cp:revision>2</cp:revision>
  <dc:subject/>
  <dc:title>TO ALL GOVERNMENTAL AFFAIRS/REGULATORY STAFF</dc:title>
</cp:coreProperties>
</file>