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color w:val="000000"/>
          <w:sz w:val="22"/>
          <w:szCs w:val="22"/>
        </w:rPr>
      </w:pPr>
      <w:r>
        <w:rPr>
          <w:color w:val="000000"/>
          <w:sz w:val="22"/>
          <w:szCs w:val="22"/>
        </w:rPr>
        <w:t>LEGAL OPINION</w:t>
      </w:r>
    </w:p>
    <w:p>
      <w:pPr>
        <w:pStyle w:val="Normal"/>
        <w:jc w:val="end"/>
        <w:rPr>
          <w:color w:val="000000"/>
          <w:sz w:val="22"/>
          <w:szCs w:val="22"/>
        </w:rPr>
      </w:pPr>
      <w:r>
        <w:rPr>
          <w:color w:val="000000"/>
          <w:sz w:val="22"/>
          <w:szCs w:val="22"/>
        </w:rPr>
        <w:t>(Governmental Entity 9-21-00)</w:t>
      </w:r>
    </w:p>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r>
    </w:p>
    <w:p>
      <w:pPr>
        <w:pStyle w:val="Normal"/>
        <w:spacing w:before="0" w:after="720"/>
        <w:jc w:val="center"/>
        <w:rPr>
          <w:color w:val="000000"/>
          <w:sz w:val="22"/>
          <w:szCs w:val="22"/>
        </w:rPr>
      </w:pPr>
      <w:r>
        <w:rPr>
          <w:color w:val="000000"/>
          <w:sz w:val="22"/>
          <w:szCs w:val="22"/>
        </w:rPr>
        <w:t>[Letterhead of Counterparty’s Outside Legal Counsel]</w:t>
      </w:r>
    </w:p>
    <w:p>
      <w:pPr>
        <w:pStyle w:val="Normal"/>
        <w:spacing w:before="0" w:after="720"/>
        <w:jc w:val="center"/>
        <w:rPr>
          <w:color w:val="000000"/>
          <w:sz w:val="22"/>
          <w:szCs w:val="22"/>
        </w:rPr>
      </w:pPr>
      <w:r>
        <w:rPr>
          <w:color w:val="000000"/>
          <w:sz w:val="22"/>
          <w:szCs w:val="22"/>
        </w:rPr>
        <w:t>[Date]</w:t>
      </w:r>
    </w:p>
    <w:p>
      <w:pPr>
        <w:pStyle w:val="Normal"/>
        <w:rPr>
          <w:color w:val="000000"/>
          <w:sz w:val="22"/>
          <w:szCs w:val="22"/>
        </w:rPr>
      </w:pPr>
      <w:r>
        <w:rPr>
          <w:color w:val="000000"/>
          <w:sz w:val="22"/>
          <w:szCs w:val="22"/>
        </w:rPr>
        <w:t>Enron North America Corp.</w:t>
      </w:r>
    </w:p>
    <w:p>
      <w:pPr>
        <w:pStyle w:val="Normal"/>
        <w:rPr>
          <w:color w:val="000000"/>
          <w:sz w:val="22"/>
          <w:szCs w:val="22"/>
        </w:rPr>
      </w:pPr>
      <w:r>
        <w:rPr>
          <w:color w:val="000000"/>
          <w:sz w:val="22"/>
          <w:szCs w:val="22"/>
        </w:rPr>
        <w:t>1400 Smith Street</w:t>
      </w:r>
    </w:p>
    <w:p>
      <w:pPr>
        <w:pStyle w:val="Normal"/>
        <w:spacing w:before="0" w:after="240"/>
        <w:rPr>
          <w:color w:val="000000"/>
          <w:sz w:val="22"/>
          <w:szCs w:val="22"/>
        </w:rPr>
      </w:pPr>
      <w:r>
        <w:rPr>
          <w:color w:val="000000"/>
          <w:sz w:val="22"/>
          <w:szCs w:val="22"/>
        </w:rPr>
        <w:t>Houston, Texas  77002</w:t>
      </w:r>
    </w:p>
    <w:p>
      <w:pPr>
        <w:pStyle w:val="Normal"/>
        <w:spacing w:before="0" w:after="240"/>
        <w:ind w:hanging="720" w:start="2160" w:end="0"/>
        <w:rPr>
          <w:color w:val="000000"/>
          <w:sz w:val="22"/>
          <w:szCs w:val="22"/>
        </w:rPr>
      </w:pPr>
      <w:r>
        <w:rPr>
          <w:color w:val="000000"/>
          <w:sz w:val="22"/>
          <w:szCs w:val="22"/>
        </w:rPr>
        <w:t>Re:</w:t>
        <w:tab/>
        <w:t>Master Agreement between Enron North America Corp. (“Enron”) and [Name of Entity] (“Counterparty”)</w:t>
      </w:r>
    </w:p>
    <w:p>
      <w:pPr>
        <w:pStyle w:val="Normal"/>
        <w:spacing w:before="0" w:after="240"/>
        <w:rPr>
          <w:color w:val="000000"/>
          <w:sz w:val="22"/>
          <w:szCs w:val="22"/>
        </w:rPr>
      </w:pPr>
      <w:r>
        <w:rPr>
          <w:color w:val="000000"/>
          <w:sz w:val="22"/>
          <w:szCs w:val="22"/>
        </w:rPr>
        <w:t>Ladies and Gentlemen:</w:t>
      </w:r>
    </w:p>
    <w:p>
      <w:pPr>
        <w:pStyle w:val="Normal"/>
        <w:spacing w:before="0" w:after="240"/>
        <w:ind w:firstLine="1440" w:end="0"/>
        <w:jc w:val="both"/>
        <w:rPr/>
      </w:pPr>
      <w:r>
        <w:rPr>
          <w:color w:val="000000"/>
          <w:sz w:val="22"/>
          <w:szCs w:val="22"/>
        </w:rPr>
        <w:t>We are attorneys admitted to practice law in the [State][Country] of _______________ (the “Relevant Jurisdiction”), and we are generally familiar with the affairs of Counterparty.  We have examined and are familiar with (i) the documents relating to the creation, authorization, organization, existence, and operation of Counterparty, (ii) the ISDA Master Agreement, dated as of _______________, by and between Counterparty and Enron (together with the Schedule thereto, any other documents incorporated by reference therein or made a part thereof, [and any Credit Support Document to which Counterparty is a party,]</w:t>
      </w:r>
      <w:r>
        <w:rPr>
          <w:rStyle w:val="FootnoteCharacters"/>
          <w:rStyle w:val="FootnoteReference"/>
          <w:color w:val="000000"/>
        </w:rPr>
        <w:footnoteReference w:id="2"/>
      </w:r>
      <w:r>
        <w:rPr>
          <w:color w:val="000000"/>
          <w:sz w:val="22"/>
          <w:szCs w:val="22"/>
        </w:rPr>
        <w:t xml:space="preserve"> collectively, the “Swap Agreement”), (iii) the Confirmation, dated _________________, by and between Counterparty and Enron (the “Confirmation”) (the Swap Agreement and the Confirmation, collectively, the “Agreement”), (iv) all necessary documentation of Counterparty relating to its authorization, execution, delivery, and performance of the Agreement and any other documentation relating to the Agreement to which it is a party, and (v) such other records, documents, and instruments as we deemed advisable.</w:t>
      </w:r>
    </w:p>
    <w:p>
      <w:pPr>
        <w:pStyle w:val="Normal"/>
        <w:spacing w:before="0" w:after="240"/>
        <w:ind w:firstLine="1440" w:end="0"/>
        <w:jc w:val="both"/>
        <w:rPr>
          <w:color w:val="000000"/>
          <w:sz w:val="22"/>
          <w:szCs w:val="22"/>
        </w:rPr>
      </w:pPr>
      <w:r>
        <w:rPr>
          <w:color w:val="000000"/>
          <w:sz w:val="22"/>
          <w:szCs w:val="22"/>
        </w:rPr>
        <w:t>Based upon the foregoing, we are of the opinion that:</w:t>
      </w:r>
    </w:p>
    <w:p>
      <w:pPr>
        <w:pStyle w:val="Normal"/>
        <w:spacing w:before="0" w:after="240"/>
        <w:ind w:firstLine="1440" w:end="0"/>
        <w:jc w:val="both"/>
        <w:rPr>
          <w:color w:val="000000"/>
          <w:sz w:val="22"/>
          <w:szCs w:val="22"/>
        </w:rPr>
      </w:pPr>
      <w:r>
        <w:rPr>
          <w:color w:val="000000"/>
          <w:sz w:val="22"/>
          <w:szCs w:val="22"/>
        </w:rPr>
        <w:t>1.</w:t>
        <w:tab/>
        <w:t>Counterparty is duly organized, validly existing, and in good standing under the constitution and laws of the Relevant Jurisdiction.</w:t>
      </w:r>
    </w:p>
    <w:p>
      <w:pPr>
        <w:pStyle w:val="Normal"/>
        <w:spacing w:before="0" w:after="240"/>
        <w:ind w:firstLine="1440" w:end="0"/>
        <w:jc w:val="both"/>
        <w:rPr>
          <w:color w:val="000000"/>
          <w:sz w:val="22"/>
          <w:szCs w:val="22"/>
        </w:rPr>
      </w:pPr>
      <w:r>
        <w:rPr>
          <w:color w:val="000000"/>
          <w:sz w:val="22"/>
          <w:szCs w:val="22"/>
        </w:rPr>
        <w:t>2.</w:t>
        <w:tab/>
        <w:t>Counterparty has the legal right and power, pursuant to [Name and General Citation of Relevant Act or Statutes] (the “Act”), to execute the Agreement and any other documentation relating to the Agreement to which it is a party, to deliver the Agreement and any other documentation relating to the Agreement that it is required by the Agreement to deliver, and to perform its obligations under the Agreement and any other documentation relating to the Agreement to which it is a party.  All necessary action and all necessary determinations and findings to authorize Counterparty’s execution, delivery, and performance of the Agreement, and any other documentation relating to the Agreement to which it is a party or that it is required by the Agreement to deliver, have been taken and made.  The individual(s) executing and delivering the Agreement, and any other documentation relating to the Agreement to which Counterparty is a party or that it is required under the Agreement to deliver, are duly empowered and authorized to do so.  Counterparty has duly authorized, executed, and delivered the Agreement, and any other documentation relating to the Agreement to which it is a party or that it is required under the Agreement to deliver.</w:t>
      </w:r>
    </w:p>
    <w:p>
      <w:pPr>
        <w:pStyle w:val="Normal"/>
        <w:spacing w:before="0" w:after="240"/>
        <w:ind w:firstLine="1440" w:end="0"/>
        <w:jc w:val="both"/>
        <w:rPr>
          <w:color w:val="000000"/>
          <w:sz w:val="22"/>
          <w:szCs w:val="22"/>
        </w:rPr>
      </w:pPr>
      <w:r>
        <w:rPr>
          <w:color w:val="000000"/>
          <w:sz w:val="22"/>
          <w:szCs w:val="22"/>
        </w:rPr>
        <w:t>3.</w:t>
        <w:tab/>
        <w:t>Such execution, delivery, and performance do not violate, conflict with, or constitute a breach or default under, any law applicable to Counterparty, any provision of its constitutional documents, any order or judgment of any court or agency of government applicable to it or any of its assets, or any contractual restriction binding on or affecting it or any of its assets.  Counterparty is not in violation or breach of, or default under, any law applicable to Counterparty, any provision of its constitutional documents, or any order or judgment of any court or agency of government applicable to it or any of its assets, which could adversely affect (i) the Agreement or any other documentation relating to the Agreement to which it is a party or that it is required by the Agreement to deliver, (ii) the legality, validity, binding effect, or enforceability thereof, (iii) the ability of Counterparty to perform its obligations thereunder, or (iv) the financial condition or operations of Counterparty.</w:t>
      </w:r>
    </w:p>
    <w:p>
      <w:pPr>
        <w:pStyle w:val="Normal"/>
        <w:spacing w:before="0" w:after="240"/>
        <w:ind w:firstLine="1440" w:end="0"/>
        <w:jc w:val="both"/>
        <w:rPr>
          <w:color w:val="000000"/>
          <w:sz w:val="22"/>
          <w:szCs w:val="22"/>
        </w:rPr>
      </w:pPr>
      <w:r>
        <w:rPr>
          <w:color w:val="000000"/>
          <w:sz w:val="22"/>
          <w:szCs w:val="22"/>
        </w:rPr>
        <w:t>4.</w:t>
        <w:tab/>
        <w:t>All governmental and other consents, approvals, registrations, licenses, or exemptions that are required to have been obtained by Counterparty with respect to the Agreement, or any other documentation relating to the Agreement to which it is a party or that it is required by the Agreement to deliver, have been obtained and are in full force and effect, and all conditions thereof have been complied with.</w:t>
      </w:r>
    </w:p>
    <w:p>
      <w:pPr>
        <w:pStyle w:val="Normal"/>
        <w:spacing w:before="0" w:after="240"/>
        <w:ind w:firstLine="1440" w:end="0"/>
        <w:jc w:val="both"/>
        <w:rPr>
          <w:color w:val="000000"/>
          <w:sz w:val="22"/>
          <w:szCs w:val="22"/>
        </w:rPr>
      </w:pPr>
      <w:r>
        <w:rPr>
          <w:color w:val="000000"/>
          <w:sz w:val="22"/>
          <w:szCs w:val="22"/>
        </w:rPr>
        <w:t>5.</w:t>
        <w:tab/>
        <w:t>[Assuming that they were governed by and construed in accordance with the laws of, and judicial decisions of the courts in, the Relevant Jurisdiction,]</w:t>
      </w:r>
      <w:r>
        <w:rPr>
          <w:rStyle w:val="FootnoteCharacters"/>
          <w:rStyle w:val="FootnoteReference"/>
          <w:color w:val="000000"/>
        </w:rPr>
        <w:footnoteReference w:id="3"/>
      </w:r>
      <w:r>
        <w:rPr>
          <w:color w:val="000000"/>
          <w:sz w:val="22"/>
          <w:szCs w:val="22"/>
        </w:rPr>
        <w:t xml:space="preserve"> the obligations of Counterparty under the Agreement, and any other documentation relating to the Agreement to which it is a party, constitute its legal, valid, and binding obligations, enforceable against Counterparty in accordance with their respective terms (subject to applicable bankruptcy, reorganization, insolvency, moratorium or similar laws affecting creditors’ rights generally and subject, as to enforceability, to equitable principles of general application (regardless of whether enforcement is sought in a proceeding in equity or at law)).]</w:t>
      </w:r>
      <w:r>
        <w:rPr>
          <w:rStyle w:val="FootnoteCharacters"/>
          <w:rStyle w:val="FootnoteReference"/>
          <w:color w:val="000000"/>
        </w:rPr>
        <w:footnoteReference w:id="4"/>
      </w:r>
    </w:p>
    <w:p>
      <w:pPr>
        <w:pStyle w:val="Normal"/>
        <w:spacing w:before="0" w:after="240"/>
        <w:ind w:firstLine="1440" w:end="0"/>
        <w:jc w:val="both"/>
        <w:rPr>
          <w:color w:val="000000"/>
          <w:sz w:val="22"/>
          <w:szCs w:val="22"/>
        </w:rPr>
      </w:pPr>
      <w:r>
        <w:rPr>
          <w:color w:val="000000"/>
          <w:sz w:val="22"/>
          <w:szCs w:val="22"/>
        </w:rPr>
        <w:t>6.</w:t>
        <w:tab/>
        <w:t>There is not pending or, to our knowledge, threatened against Counterparty (nor to our knowledge is there any basis for), any action, suit, claim, inquiry, investigation, or proceeding at law or in equity or before any court, tribunal, governmental body, agency, official, or arbitrator that is likely to affect the legality, validity, or enforceability against Counterparty of the Agreement, or any other documentation relating to the Agreement to which it is a party, or Counterparty’s ability to perform its obligations under the Agreement or any other documentation relating to the Agreement to which it is a party.</w:t>
      </w:r>
    </w:p>
    <w:p>
      <w:pPr>
        <w:pStyle w:val="Normal"/>
        <w:spacing w:before="0" w:after="240"/>
        <w:ind w:firstLine="1440" w:end="0"/>
        <w:jc w:val="both"/>
        <w:rPr>
          <w:color w:val="000000"/>
          <w:sz w:val="22"/>
          <w:szCs w:val="22"/>
        </w:rPr>
      </w:pPr>
      <w:r>
        <w:rPr>
          <w:color w:val="000000"/>
          <w:sz w:val="22"/>
          <w:szCs w:val="22"/>
        </w:rPr>
        <w:t>7.</w:t>
        <w:tab/>
        <w:t>Counterparty is an “eligible swap participant” as defined in the Part 35 Regulations of the U.S. Commodity Futures Trading Commission.</w:t>
      </w:r>
    </w:p>
    <w:p>
      <w:pPr>
        <w:pStyle w:val="Normal"/>
        <w:spacing w:before="0" w:after="240"/>
        <w:ind w:firstLine="1440" w:end="0"/>
        <w:jc w:val="both"/>
        <w:rPr>
          <w:color w:val="000000"/>
          <w:sz w:val="22"/>
          <w:szCs w:val="22"/>
        </w:rPr>
      </w:pPr>
      <w:r>
        <w:rPr>
          <w:color w:val="000000"/>
          <w:sz w:val="22"/>
          <w:szCs w:val="22"/>
        </w:rPr>
        <w:t>8.</w:t>
        <w:tab/>
        <w:t>Counterparty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the Agreement in the courts of any jurisdiction, and no such immunity (whether or not claimed) may be attributed to Counterparty or its revenues or assets.</w:t>
      </w:r>
    </w:p>
    <w:p>
      <w:pPr>
        <w:pStyle w:val="Normal"/>
        <w:spacing w:before="0" w:after="240"/>
        <w:ind w:firstLine="1440" w:end="0"/>
        <w:jc w:val="both"/>
        <w:rPr>
          <w:color w:val="000000"/>
          <w:sz w:val="22"/>
          <w:szCs w:val="22"/>
        </w:rPr>
      </w:pPr>
      <w:r>
        <w:rPr>
          <w:color w:val="000000"/>
          <w:sz w:val="22"/>
          <w:szCs w:val="22"/>
        </w:rPr>
        <w:t>9.</w:t>
        <w:tab/>
        <w:t>The Agreement and each Transaction thereunder do not constitute any kind of investment by Counterparty that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p>
    <w:p>
      <w:pPr>
        <w:pStyle w:val="Normal"/>
        <w:spacing w:before="0" w:after="240"/>
        <w:ind w:firstLine="1440" w:end="0"/>
        <w:jc w:val="both"/>
        <w:rPr/>
      </w:pPr>
      <w:r>
        <w:rPr>
          <w:color w:val="000000"/>
          <w:sz w:val="22"/>
          <w:szCs w:val="22"/>
        </w:rPr>
        <w:t>10.</w:t>
        <w:tab/>
        <w:t>No person, firm, corporation, entity, or association other than Counterparty may liquidate, borrow, encumber, or otherwise utilize the assets [(including, without limitation, the assets identified in [</w:t>
      </w:r>
      <w:r>
        <w:rPr>
          <w:i/>
          <w:iCs/>
          <w:color w:val="000000"/>
          <w:sz w:val="22"/>
          <w:szCs w:val="22"/>
        </w:rPr>
        <w:t>[track language regarding assets of Party B in Schedule</w:t>
      </w:r>
      <w:r>
        <w:rPr>
          <w:color w:val="000000"/>
          <w:sz w:val="22"/>
          <w:szCs w:val="22"/>
        </w:rPr>
        <w:t>)] of Counterparty.</w:t>
      </w:r>
    </w:p>
    <w:p>
      <w:pPr>
        <w:pStyle w:val="Normal"/>
        <w:spacing w:before="0" w:after="240"/>
        <w:ind w:firstLine="1440" w:end="0"/>
        <w:jc w:val="both"/>
        <w:rPr>
          <w:color w:val="000000"/>
          <w:sz w:val="22"/>
          <w:szCs w:val="22"/>
        </w:rPr>
      </w:pPr>
      <w:r>
        <w:rPr>
          <w:color w:val="000000"/>
          <w:sz w:val="22"/>
          <w:szCs w:val="22"/>
        </w:rPr>
        <w:t>11.</w:t>
        <w:tab/>
        <w:t>The execution and delivery by Counterparty of the Agreement, any other documentation relating to the Agreement to which it is a party, and each Confirmation, and the performance by Counterparty of its obligations thereunder, are in furtherance, and not in violation, of the public purposes for which Counterparty was created and organized under the Act and pursuant to the laws of the Relevant Jurisdiction.</w:t>
      </w:r>
    </w:p>
    <w:p>
      <w:pPr>
        <w:pStyle w:val="Normal"/>
        <w:spacing w:before="0" w:after="240"/>
        <w:ind w:firstLine="1440" w:end="0"/>
        <w:jc w:val="both"/>
        <w:rPr>
          <w:color w:val="000000"/>
          <w:sz w:val="22"/>
          <w:szCs w:val="22"/>
        </w:rPr>
      </w:pPr>
      <w:r>
        <w:rPr>
          <w:color w:val="000000"/>
          <w:sz w:val="22"/>
          <w:szCs w:val="22"/>
        </w:rPr>
        <w:t>12.</w:t>
        <w:tab/>
        <w:t>The obligations of Counterparty to make payments to Enron under the Agreement and each Transaction (i) are not subject to appropriation or similar action, and (ii) do not (A) constitute any kind of indebtedness of Counterparty or (B) create any kind of lien on or security interest in any property or revenues of Counterparty which, in either case (A) or (B),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p>
    <w:p>
      <w:pPr>
        <w:pStyle w:val="Normal"/>
        <w:spacing w:before="0" w:after="240"/>
        <w:ind w:firstLine="1440" w:end="0"/>
        <w:jc w:val="both"/>
        <w:rPr/>
      </w:pPr>
      <w:r>
        <w:rPr>
          <w:color w:val="000000"/>
          <w:sz w:val="22"/>
          <w:szCs w:val="22"/>
        </w:rPr>
        <w:t>13.</w:t>
        <w:tab/>
        <w:t xml:space="preserve">Counterparty’s obligations under the Agreement are, and until the termination of this Agreement pursuant to the terms hereof shall remain, </w:t>
      </w:r>
      <w:r>
        <w:rPr>
          <w:i/>
          <w:iCs/>
          <w:color w:val="000000"/>
          <w:sz w:val="22"/>
          <w:szCs w:val="22"/>
        </w:rPr>
        <w:t>[track language regarding source of payments in Schedule]</w:t>
      </w:r>
      <w:r>
        <w:rPr>
          <w:color w:val="000000"/>
          <w:sz w:val="22"/>
          <w:szCs w:val="22"/>
        </w:rPr>
        <w:t>.</w:t>
      </w:r>
    </w:p>
    <w:p>
      <w:pPr>
        <w:pStyle w:val="Normal"/>
        <w:spacing w:before="0" w:after="240"/>
        <w:ind w:firstLine="1440" w:end="0"/>
        <w:jc w:val="both"/>
        <w:rPr>
          <w:color w:val="000000"/>
          <w:sz w:val="22"/>
          <w:szCs w:val="22"/>
        </w:rPr>
      </w:pPr>
      <w:r>
        <w:rPr>
          <w:color w:val="000000"/>
          <w:sz w:val="22"/>
          <w:szCs w:val="22"/>
        </w:rPr>
        <w:t>14.</w:t>
        <w:tab/>
        <w:t>The execution and delivery of the Agreement, or any of the documentation relating to the Agreement, will not result in the imposition of any tax, duty, or fee on Enron by any governmental or public board, body, agency, or other authority or instrumentality in the Relevant Jurisdiction.</w:t>
      </w:r>
    </w:p>
    <w:p>
      <w:pPr>
        <w:pStyle w:val="Normal"/>
        <w:spacing w:before="0" w:after="240"/>
        <w:ind w:firstLine="1440" w:end="0"/>
        <w:jc w:val="both"/>
        <w:rPr>
          <w:color w:val="000000"/>
          <w:sz w:val="22"/>
          <w:szCs w:val="22"/>
        </w:rPr>
      </w:pPr>
      <w:r>
        <w:rPr>
          <w:color w:val="000000"/>
          <w:sz w:val="22"/>
          <w:szCs w:val="22"/>
        </w:rPr>
        <w:t>15.</w:t>
        <w:tab/>
        <w:t>Enron is not (i) required to qualify or obtain any certificate of authority to do business in, or to register or file with, or to obtain any license from, any governmental or public board, body, agency, or other authority or instrumentality in the Relevant Jurisdiction, or (ii) subject to any requirement to make or pay any taxes, duties, or fees, required of foreign entities doing business in the Relevant Jurisdiction, in either case (i) or (ii), solely as a result of executing, delivering, and performing the Agreement, or any other documentation relating to the Agreement to which Enron is a party or that it is required by the Agreement to deliver.</w:t>
      </w:r>
    </w:p>
    <w:p>
      <w:pPr>
        <w:pStyle w:val="Normal"/>
        <w:spacing w:before="0" w:after="240"/>
        <w:ind w:start="4320" w:end="0"/>
        <w:rPr>
          <w:color w:val="000000"/>
          <w:sz w:val="22"/>
          <w:szCs w:val="22"/>
        </w:rPr>
      </w:pPr>
      <w:r>
        <w:rPr>
          <w:color w:val="000000"/>
          <w:sz w:val="22"/>
          <w:szCs w:val="22"/>
        </w:rPr>
        <w:t>Very truly yours,</w:t>
      </w:r>
    </w:p>
    <w:sectPr>
      <w:footnotePr>
        <w:numFmt w:val="decimal"/>
      </w:footnotePr>
      <w:type w:val="nextPage"/>
      <w:pgSz w:w="12240" w:h="15840"/>
      <w:pgMar w:left="1440" w:right="1440" w:gutter="0" w:header="0" w:top="1440" w:footer="0" w:bottom="1440"/>
      <w:pgNumType w:fmt="decimal"/>
      <w:formProt w:val="false"/>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sz w:val="18"/>
          <w:szCs w:val="18"/>
        </w:rPr>
        <w:t xml:space="preserve"> </w:t>
      </w:r>
      <w:r>
        <w:rPr>
          <w:sz w:val="18"/>
          <w:szCs w:val="18"/>
        </w:rPr>
        <w:t>In the event that Counterparty is executing a Credit Support Document, particularly a Credit Support Annex, additional opinions may be required in respect of matters such as (i) the creation and attachment of a valid, first priority, perfected, security interest, and (ii) the perfection and priority of such security interest.  The form and content of these opinions will vary given the relevant documentation, collateral type(s), and governing law.</w:t>
      </w:r>
    </w:p>
  </w:footnote>
  <w:footnote w:id="3">
    <w:p>
      <w:pPr>
        <w:pStyle w:val="FootnoteText"/>
        <w:rPr/>
      </w:pPr>
      <w:r>
        <w:rPr>
          <w:rStyle w:val="FootnoteCharacters"/>
        </w:rPr>
        <w:footnoteRef/>
      </w:r>
      <w:r>
        <w:rPr>
          <w:sz w:val="18"/>
          <w:szCs w:val="18"/>
        </w:rPr>
        <w:t xml:space="preserve"> </w:t>
      </w:r>
      <w:r>
        <w:rPr>
          <w:sz w:val="18"/>
          <w:szCs w:val="18"/>
        </w:rPr>
        <w:t>Use bracketed text when the law governing the Agreement is not the law of the Relevant Jurisdiction.</w:t>
      </w:r>
    </w:p>
  </w:footnote>
  <w:footnote w:id="4">
    <w:p>
      <w:pPr>
        <w:pStyle w:val="FootnoteText"/>
        <w:jc w:val="both"/>
        <w:rPr/>
      </w:pPr>
      <w:r>
        <w:rPr>
          <w:rStyle w:val="FootnoteCharacters"/>
        </w:rPr>
        <w:footnoteRef/>
      </w:r>
      <w:r>
        <w:rPr>
          <w:sz w:val="18"/>
          <w:szCs w:val="18"/>
        </w:rPr>
        <w:t xml:space="preserve"> </w:t>
      </w:r>
      <w:r>
        <w:rPr>
          <w:sz w:val="18"/>
          <w:szCs w:val="18"/>
        </w:rPr>
        <w:t>Alternatively, consider obtaining the following opinion:   “5.  Under laws of, and the judicial interpretations of courts in, the Relevant Jurisdiction, the governing law, submission to jurisdiction, and waiver of immunities provisions of the Agreement, as applicable  would be enforced in accordance with their respective terms, and the substantive law of the State of New York would be applied to the construction and enforcement of the Agreement and any other documentation relating to the Agreement to which Counterparty is a party, if an action for the same were pursued in a state or federal court located in the Relevant Jurisdiction.”</w:t>
      </w:r>
    </w:p>
  </w:footnote>
</w:footnotes>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2000-09-22T10:41:00Z</dcterms:created>
  <dc:creator>tjones</dc:creator>
  <dc:description/>
  <dc:language>en-CA</dc:language>
  <cp:lastModifiedBy>tjones</cp:lastModifiedBy>
  <dcterms:modified xsi:type="dcterms:W3CDTF">2000-09-22T10:43:00Z</dcterms:modified>
  <cp:revision>4</cp:revision>
  <dc:subject/>
  <dc:title>LEGAL OPINION</dc:title>
</cp:coreProperties>
</file>