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Single"/>
        <w:spacing w:lineRule="atLeast" w:line="240" w:before="72" w:after="0"/>
        <w:ind w:hanging="1440" w:start="1440" w:end="0"/>
        <w:rPr/>
      </w:pPr>
      <w:r>
        <w:rPr>
          <w:rFonts w:cs="Arial" w:ascii="Arial" w:hAnsi="Arial"/>
          <w:b/>
          <w:sz w:val="22"/>
        </w:rPr>
        <w:t>TO:</w:t>
        <w:tab/>
      </w:r>
      <w:r>
        <w:rPr>
          <w:rFonts w:cs="Arial" w:ascii="Arial" w:hAnsi="Arial"/>
          <w:sz w:val="22"/>
        </w:rPr>
        <w:t xml:space="preserve">Stan Horton, Chairman, GISB Board of Directors </w:t>
      </w:r>
    </w:p>
    <w:p>
      <w:pPr>
        <w:pStyle w:val="BodySingle"/>
        <w:spacing w:lineRule="atLeast" w:line="240"/>
        <w:ind w:hanging="1440" w:start="1440" w:end="0"/>
        <w:rPr>
          <w:rFonts w:ascii="Arial" w:hAnsi="Arial" w:cs="Arial"/>
          <w:sz w:val="22"/>
        </w:rPr>
      </w:pPr>
      <w:r>
        <w:rPr>
          <w:rFonts w:cs="Arial" w:ascii="Arial" w:hAnsi="Arial"/>
          <w:sz w:val="22"/>
        </w:rPr>
        <w:tab/>
        <w:t>Ron Mucci, Chair Governance Strawman Committee – Williams Gas Pipelines</w:t>
      </w:r>
    </w:p>
    <w:p>
      <w:pPr>
        <w:pStyle w:val="BodySingle"/>
        <w:spacing w:lineRule="atLeast" w:line="240"/>
        <w:ind w:start="1440" w:end="0"/>
        <w:rPr>
          <w:rFonts w:ascii="Arial" w:hAnsi="Arial" w:cs="Arial"/>
          <w:sz w:val="22"/>
        </w:rPr>
      </w:pPr>
      <w:r>
        <w:rPr>
          <w:rFonts w:cs="Arial" w:ascii="Arial" w:hAnsi="Arial"/>
          <w:sz w:val="22"/>
        </w:rPr>
        <w:t>Mike Novak – National Fuel Distribution, Hugh Roberts – Marathon Oil, Jim Templeton – Comprehensive Energy, Jim Buccigross – Group 8760,  Rae McQuade – GISB Office, Other Interested Persons</w:t>
      </w:r>
    </w:p>
    <w:p>
      <w:pPr>
        <w:pStyle w:val="Normal"/>
        <w:widowControl/>
        <w:rPr/>
      </w:pPr>
      <w:r>
        <w:rPr>
          <w:rFonts w:cs="Arial" w:ascii="Arial" w:hAnsi="Arial"/>
          <w:b/>
          <w:sz w:val="22"/>
        </w:rPr>
        <w:t xml:space="preserve">FROM: </w:t>
        <w:tab/>
      </w:r>
      <w:r>
        <w:rPr>
          <w:rFonts w:cs="Arial" w:ascii="Arial" w:hAnsi="Arial"/>
          <w:sz w:val="22"/>
        </w:rPr>
        <w:t xml:space="preserve">Greg Lander - CapacityCenter.com Governance Strawman Committee member </w:t>
      </w:r>
    </w:p>
    <w:p>
      <w:pPr>
        <w:pStyle w:val="Normal"/>
        <w:widowControl/>
        <w:rPr/>
      </w:pPr>
      <w:r>
        <w:rPr>
          <w:rFonts w:cs="Arial" w:ascii="Arial" w:hAnsi="Arial"/>
          <w:b/>
          <w:sz w:val="22"/>
        </w:rPr>
        <w:t>RE:</w:t>
        <w:tab/>
        <w:tab/>
      </w:r>
      <w:r>
        <w:rPr>
          <w:rFonts w:cs="Arial" w:ascii="Arial" w:hAnsi="Arial"/>
          <w:sz w:val="22"/>
        </w:rPr>
        <w:t xml:space="preserve">Possible Structure for the New Standards Organization </w:t>
      </w:r>
    </w:p>
    <w:p>
      <w:pPr>
        <w:pStyle w:val="Normal"/>
        <w:widowControl/>
        <w:pBdr>
          <w:bottom w:val="single" w:sz="12" w:space="1" w:color="000000"/>
        </w:pBdr>
        <w:rPr/>
      </w:pPr>
      <w:r>
        <w:rPr>
          <w:rFonts w:cs="Arial" w:ascii="Arial" w:hAnsi="Arial"/>
          <w:b/>
          <w:sz w:val="22"/>
        </w:rPr>
        <w:t>DATE:</w:t>
      </w:r>
      <w:r>
        <w:rPr>
          <w:rFonts w:cs="Arial" w:ascii="Arial" w:hAnsi="Arial"/>
          <w:sz w:val="22"/>
        </w:rPr>
        <w:tab/>
        <w:tab/>
        <w:t>July 30, 2000</w:t>
      </w:r>
    </w:p>
    <w:p>
      <w:pPr>
        <w:pStyle w:val="Normal"/>
        <w:jc w:val="both"/>
        <w:rPr>
          <w:rFonts w:ascii="Arial" w:hAnsi="Arial" w:cs="Arial"/>
          <w:sz w:val="22"/>
        </w:rPr>
      </w:pPr>
      <w:r>
        <w:rPr>
          <w:rFonts w:cs="Arial" w:ascii="Arial" w:hAnsi="Arial"/>
          <w:sz w:val="22"/>
        </w:rPr>
        <w:tab/>
      </w:r>
    </w:p>
    <w:p>
      <w:pPr>
        <w:pStyle w:val="Heading5"/>
        <w:jc w:val="start"/>
        <w:rPr>
          <w:rFonts w:ascii="Arial" w:hAnsi="Arial" w:cs="Arial"/>
          <w:sz w:val="22"/>
        </w:rPr>
      </w:pPr>
      <w:r>
        <w:rPr>
          <w:rFonts w:cs="Arial" w:ascii="Arial" w:hAnsi="Arial"/>
          <w:sz w:val="22"/>
        </w:rPr>
        <w:t xml:space="preserve">Attached please find Draft 2 of Proposed Strawman concerning structure and governance for a new standards organization combining standards development activities for both the electricity and natural gas markets. </w:t>
      </w:r>
      <w:r>
        <w:br w:type="page"/>
      </w:r>
    </w:p>
    <w:p>
      <w:pPr>
        <w:pStyle w:val="BodySingle"/>
        <w:spacing w:lineRule="atLeast" w:line="240"/>
        <w:ind w:hanging="1440" w:start="1440" w:end="0"/>
        <w:rPr/>
      </w:pPr>
      <w:r>
        <w:rPr>
          <w:rFonts w:cs="Arial" w:ascii="Arial" w:hAnsi="Arial"/>
          <w:b/>
          <w:sz w:val="22"/>
        </w:rPr>
        <w:t>TO:</w:t>
        <w:tab/>
      </w:r>
      <w:r>
        <w:rPr>
          <w:rFonts w:cs="Arial" w:ascii="Arial" w:hAnsi="Arial"/>
          <w:sz w:val="22"/>
        </w:rPr>
        <w:t xml:space="preserve">Stan Horton, Chairman, GISB Board of Directors </w:t>
      </w:r>
    </w:p>
    <w:p>
      <w:pPr>
        <w:pStyle w:val="BodySingle"/>
        <w:spacing w:lineRule="atLeast" w:line="240"/>
        <w:ind w:hanging="1440" w:start="1440" w:end="0"/>
        <w:rPr>
          <w:rFonts w:ascii="Arial" w:hAnsi="Arial" w:cs="Arial"/>
          <w:sz w:val="22"/>
        </w:rPr>
      </w:pPr>
      <w:r>
        <w:rPr>
          <w:rFonts w:cs="Arial" w:ascii="Arial" w:hAnsi="Arial"/>
          <w:sz w:val="22"/>
        </w:rPr>
        <w:tab/>
        <w:t>Ron Mucci, Chair Governance Strawman Task Group – Williams Gas Pipelines</w:t>
      </w:r>
    </w:p>
    <w:p>
      <w:pPr>
        <w:pStyle w:val="BodySingle"/>
        <w:spacing w:lineRule="atLeast" w:line="240"/>
        <w:ind w:start="1440" w:end="0"/>
        <w:rPr>
          <w:rFonts w:ascii="Arial" w:hAnsi="Arial" w:cs="Arial"/>
          <w:sz w:val="22"/>
        </w:rPr>
      </w:pPr>
      <w:r>
        <w:rPr>
          <w:rFonts w:cs="Arial" w:ascii="Arial" w:hAnsi="Arial"/>
          <w:sz w:val="22"/>
        </w:rPr>
        <w:t>Mike Novak – National Fuel Gas Distribution, Hugh Roberts – Marathon Oil, Jim Templeton – Comprehensive Energy, Jim Buccigross – Group 8760,  Rae McQuade – GISB Office, Other Interested Persons</w:t>
      </w:r>
    </w:p>
    <w:p>
      <w:pPr>
        <w:pStyle w:val="Normal"/>
        <w:widowControl/>
        <w:rPr/>
      </w:pPr>
      <w:r>
        <w:rPr>
          <w:rFonts w:cs="Arial" w:ascii="Arial" w:hAnsi="Arial"/>
          <w:b/>
          <w:sz w:val="22"/>
        </w:rPr>
        <w:t xml:space="preserve">FROM: </w:t>
        <w:tab/>
      </w:r>
      <w:r>
        <w:rPr>
          <w:rFonts w:cs="Arial" w:ascii="Arial" w:hAnsi="Arial"/>
          <w:sz w:val="22"/>
        </w:rPr>
        <w:t xml:space="preserve">Greg Lander - CapacityCenter.com &amp; Governance Strawman Task Group </w:t>
      </w:r>
    </w:p>
    <w:p>
      <w:pPr>
        <w:pStyle w:val="Normal"/>
        <w:widowControl/>
        <w:rPr/>
      </w:pPr>
      <w:r>
        <w:rPr>
          <w:rFonts w:cs="Arial" w:ascii="Arial" w:hAnsi="Arial"/>
          <w:b/>
          <w:sz w:val="22"/>
        </w:rPr>
        <w:t>RE:</w:t>
        <w:tab/>
        <w:tab/>
      </w:r>
      <w:r>
        <w:rPr>
          <w:rFonts w:cs="Arial" w:ascii="Arial" w:hAnsi="Arial"/>
          <w:sz w:val="22"/>
        </w:rPr>
        <w:t xml:space="preserve">Possible Structure for the New Standards Organization </w:t>
      </w:r>
    </w:p>
    <w:p>
      <w:pPr>
        <w:pStyle w:val="Normal"/>
        <w:widowControl/>
        <w:pBdr>
          <w:bottom w:val="single" w:sz="12" w:space="1" w:color="000000"/>
        </w:pBdr>
        <w:rPr/>
      </w:pPr>
      <w:r>
        <w:rPr>
          <w:rFonts w:cs="Arial" w:ascii="Arial" w:hAnsi="Arial"/>
          <w:b/>
          <w:sz w:val="22"/>
        </w:rPr>
        <w:t>DATE:</w:t>
      </w:r>
      <w:r>
        <w:rPr>
          <w:rFonts w:cs="Arial" w:ascii="Arial" w:hAnsi="Arial"/>
          <w:sz w:val="22"/>
        </w:rPr>
        <w:tab/>
        <w:tab/>
        <w:t>July 30, 2000</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In several meetings, it was discussed that the purpose of this new organization would be to propose and adopt voluntary standards designed to promote more competitive, efficient and reliable energy service.  Such standards would apply to electronic exchange of information, record and data formats, communications protocols and related business practices that streamline the transactional and coordination processes of the electricity and natural gas marketplace.  </w:t>
      </w:r>
    </w:p>
    <w:p>
      <w:pPr>
        <w:pStyle w:val="Normal"/>
        <w:jc w:val="both"/>
        <w:rPr>
          <w:rFonts w:ascii="Arial" w:hAnsi="Arial" w:cs="Arial"/>
          <w:sz w:val="22"/>
        </w:rPr>
      </w:pPr>
      <w:r>
        <w:rPr>
          <w:rFonts w:cs="Arial" w:ascii="Arial" w:hAnsi="Arial"/>
          <w:sz w:val="22"/>
        </w:rPr>
        <w:t>This document provides a possible structure and principles for organizing such a structure.  The principles are based on commonly accepted precepts of a standards organization.  The document outline of the structure should not be misconstrued as the only way to organize a new standards organization to support development of standards for both electricity and natural gas markets.</w:t>
      </w:r>
    </w:p>
    <w:p>
      <w:pPr>
        <w:pStyle w:val="Heading3"/>
        <w:ind w:hanging="0" w:start="0"/>
        <w:rPr>
          <w:rFonts w:ascii="Arial" w:hAnsi="Arial" w:cs="Arial"/>
          <w:sz w:val="22"/>
        </w:rPr>
      </w:pPr>
      <w:r>
        <w:rPr>
          <w:rFonts w:cs="Arial" w:ascii="Arial" w:hAnsi="Arial"/>
          <w:sz w:val="22"/>
        </w:rPr>
        <w:t>Principles</w:t>
      </w:r>
    </w:p>
    <w:p>
      <w:pPr>
        <w:pStyle w:val="Heading1"/>
        <w:widowControl w:val="false"/>
        <w:ind w:hanging="0" w:start="0"/>
        <w:rPr>
          <w:rFonts w:ascii="Arial" w:hAnsi="Arial" w:cs="Arial"/>
          <w:sz w:val="22"/>
        </w:rPr>
      </w:pPr>
      <w:r>
        <w:rPr>
          <w:rFonts w:cs="Arial" w:ascii="Arial" w:hAnsi="Arial"/>
          <w:sz w:val="22"/>
        </w:rPr>
      </w:r>
    </w:p>
    <w:p>
      <w:pPr>
        <w:pStyle w:val="Normal"/>
        <w:jc w:val="both"/>
        <w:rPr/>
      </w:pPr>
      <w:r>
        <w:rPr>
          <w:rFonts w:cs="Arial" w:ascii="Arial" w:hAnsi="Arial"/>
          <w:b/>
          <w:sz w:val="22"/>
        </w:rPr>
        <w:t xml:space="preserve">Independence </w:t>
      </w:r>
      <w:r>
        <w:rPr>
          <w:rFonts w:cs="Arial" w:ascii="Arial" w:hAnsi="Arial"/>
          <w:sz w:val="22"/>
        </w:rPr>
        <w:t>– The standards organization should be an independent body.  While it may have informal liaisons to trade associations, other standards organizations and government agencies, it should be a separately incorporated fully independent organization.</w:t>
      </w:r>
    </w:p>
    <w:p>
      <w:pPr>
        <w:pStyle w:val="BodyText"/>
        <w:widowControl w:val="false"/>
        <w:rPr/>
      </w:pPr>
      <w:r>
        <w:rPr>
          <w:b/>
          <w:sz w:val="22"/>
        </w:rPr>
        <w:t xml:space="preserve">Openness  </w:t>
      </w:r>
      <w:r>
        <w:rPr>
          <w:sz w:val="22"/>
        </w:rPr>
        <w:t>-- The standards organization should conduct its activities in the open.  Openness should apply to all aspects of its organizational governance, elections and standards development processes, including work products and related meetings.  The meetings, agendas and items set for discussion and/or possible vote should be publicly noticed, and interested parties, regardless of membership should be invited to participate.</w:t>
      </w:r>
    </w:p>
    <w:p>
      <w:pPr>
        <w:pStyle w:val="BodyText"/>
        <w:widowControl w:val="false"/>
        <w:rPr/>
      </w:pPr>
      <w:r>
        <w:rPr>
          <w:b/>
          <w:sz w:val="22"/>
        </w:rPr>
        <w:t xml:space="preserve">Voluntary  </w:t>
      </w:r>
      <w:r>
        <w:rPr>
          <w:sz w:val="22"/>
        </w:rPr>
        <w:t>-- Participation in the standards organization should be voluntary and adherence to its standards should, from the standards organization's perspective, also be voluntary.  Actions taken by government agencies and other groups regarding the organization's standards are completely independent of the standards organization.  Membership should not be dependent upon whether the company seeking membership implements the standards.  The organization will not maintain any type of standards enforcement activity.</w:t>
      </w:r>
    </w:p>
    <w:p>
      <w:pPr>
        <w:pStyle w:val="BodyText"/>
        <w:widowControl w:val="false"/>
        <w:rPr/>
      </w:pPr>
      <w:r>
        <w:rPr>
          <w:b/>
          <w:sz w:val="22"/>
        </w:rPr>
        <w:t>Balance of Interests</w:t>
      </w:r>
      <w:r>
        <w:rPr>
          <w:sz w:val="22"/>
        </w:rPr>
        <w:t xml:space="preserve"> – The voting with respect to governance and standards development procedures should provide for balance between industry segments participating in the standards organization so as to avoid any one interest group or group of interests having the ability to exert undue influence over any decision.  </w:t>
      </w:r>
    </w:p>
    <w:p>
      <w:pPr>
        <w:pStyle w:val="Normal"/>
        <w:jc w:val="both"/>
        <w:rPr/>
      </w:pPr>
      <w:r>
        <w:rPr>
          <w:rFonts w:cs="Arial" w:ascii="Arial" w:hAnsi="Arial"/>
          <w:b/>
          <w:sz w:val="22"/>
        </w:rPr>
        <w:t>Inclusivity</w:t>
      </w:r>
      <w:r>
        <w:rPr>
          <w:rFonts w:cs="Arial" w:ascii="Arial" w:hAnsi="Arial"/>
          <w:sz w:val="22"/>
        </w:rPr>
        <w:t xml:space="preserve"> – All industry stakeholders should be identified and associated with a segment.  All interested parties are invited to participate in the activities of the standards organization and to join the organization.  </w:t>
      </w:r>
    </w:p>
    <w:p>
      <w:pPr>
        <w:pStyle w:val="Normal"/>
        <w:jc w:val="both"/>
        <w:rPr/>
      </w:pPr>
      <w:r>
        <w:rPr>
          <w:rFonts w:cs="Arial" w:ascii="Arial" w:hAnsi="Arial"/>
          <w:b/>
          <w:sz w:val="22"/>
        </w:rPr>
        <w:t>Consensus Based Decisions</w:t>
      </w:r>
      <w:r>
        <w:rPr>
          <w:rFonts w:cs="Arial" w:ascii="Arial" w:hAnsi="Arial"/>
          <w:sz w:val="22"/>
        </w:rPr>
        <w:t xml:space="preserve"> -- The voting rules should be constructed so that decisions based upon consensus are encouraged.  The voting rules should permit neither a “tyranny of the majority”, nor a “tyranny of the minority”.  In addition, with respect to voting upon the business standards issued or to be issued by the organization, individual segments should be assured that each segment can protect its interests by requiring both super-majorities and a minimum per segment threshold be achieved for passage of such standards by the organization.</w:t>
      </w:r>
    </w:p>
    <w:p>
      <w:pPr>
        <w:pStyle w:val="Normal"/>
        <w:jc w:val="both"/>
        <w:rPr/>
      </w:pPr>
      <w:r>
        <w:rPr>
          <w:rFonts w:cs="Arial" w:ascii="Arial" w:hAnsi="Arial"/>
          <w:b/>
          <w:sz w:val="22"/>
        </w:rPr>
        <w:t>No Advocacy</w:t>
      </w:r>
      <w:r>
        <w:rPr>
          <w:rFonts w:cs="Arial" w:ascii="Arial" w:hAnsi="Arial"/>
          <w:sz w:val="22"/>
        </w:rPr>
        <w:t xml:space="preserve"> – The standards organization should be prohibited from taking advocacy positions on its standards as a party to any proceeding before a governmental agency.  This is not intended to preclude the organization’s duly authorized representatives from educating or communicating with any group as to the organization’s procedures and/or work product(s). </w:t>
      </w:r>
    </w:p>
    <w:p>
      <w:pPr>
        <w:pStyle w:val="Normal"/>
        <w:jc w:val="both"/>
        <w:rPr/>
      </w:pPr>
      <w:r>
        <w:rPr>
          <w:rFonts w:cs="Arial" w:ascii="Arial" w:hAnsi="Arial"/>
          <w:b/>
          <w:sz w:val="22"/>
        </w:rPr>
        <w:t>Membership Driven</w:t>
      </w:r>
      <w:r>
        <w:rPr>
          <w:rFonts w:cs="Arial" w:ascii="Arial" w:hAnsi="Arial"/>
          <w:sz w:val="22"/>
        </w:rPr>
        <w:t xml:space="preserve"> – The standards organization should be membership driven.  The paid staff should perform administrative functions to support the organization's activities.  Requests for standard(s) should be proposed by identified persons and not by the organization or its committees /task forces and groups.  The organization’s staff should neither have a vote nor a role with respect to conducting the affairs of the organization other than to provide ministerial functions.  </w:t>
      </w:r>
    </w:p>
    <w:p>
      <w:pPr>
        <w:pStyle w:val="Normal"/>
        <w:jc w:val="both"/>
        <w:rPr/>
      </w:pPr>
      <w:r>
        <w:rPr>
          <w:rFonts w:cs="Arial" w:ascii="Arial" w:hAnsi="Arial"/>
          <w:b/>
          <w:sz w:val="22"/>
        </w:rPr>
        <w:t>Implement and Streamline Existing Policy and Practice, Do Not Create Policy</w:t>
      </w:r>
      <w:r>
        <w:rPr>
          <w:rFonts w:cs="Arial" w:ascii="Arial" w:hAnsi="Arial"/>
          <w:sz w:val="22"/>
        </w:rPr>
        <w:t xml:space="preserve"> – The Task Forces and Subcommittees of the standards organization should endeavor to not create policy in their standards development activities absent being requested to do so by the applicable body (Executive Committee or Board of Directors).  To the extent reasonable, the standards to be established should reflect standardization and streamlining of activities chosen from among existing policies and practices.</w:t>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u w:val="single"/>
        </w:rPr>
      </w:pPr>
      <w:r>
        <w:rPr>
          <w:rFonts w:cs="Arial" w:ascii="Arial" w:hAnsi="Arial"/>
          <w:b/>
          <w:sz w:val="22"/>
          <w:u w:val="single"/>
        </w:rPr>
        <w:t>Possible Organizational Structure</w:t>
      </w:r>
    </w:p>
    <w:p>
      <w:pPr>
        <w:pStyle w:val="Normal"/>
        <w:rPr>
          <w:rFonts w:ascii="Arial" w:hAnsi="Arial" w:cs="Arial"/>
          <w:b/>
          <w:sz w:val="22"/>
          <w:u w:val="single"/>
        </w:rPr>
      </w:pPr>
      <w:r>
        <w:rPr>
          <w:rFonts w:cs="Arial" w:ascii="Arial" w:hAnsi="Arial"/>
          <w:b/>
          <w:sz w:val="22"/>
          <w:u w:val="single"/>
        </w:rPr>
      </w:r>
    </w:p>
    <w:p>
      <w:pPr>
        <w:pStyle w:val="Normal"/>
        <w:spacing w:before="100" w:after="120"/>
        <w:rPr/>
      </w:pPr>
      <w:r>
        <w:rPr>
          <w:rFonts w:cs="Arial" w:ascii="Arial" w:hAnsi="Arial"/>
          <w:b/>
          <w:sz w:val="22"/>
        </w:rPr>
        <w:t xml:space="preserve">Industry Segments – </w:t>
      </w:r>
      <w:r>
        <w:rPr>
          <w:rFonts w:cs="Arial" w:ascii="Arial" w:hAnsi="Arial"/>
          <w:sz w:val="22"/>
        </w:rPr>
        <w:t>The industry segments could be defined as follows:</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8" w:space="0" w:color="000000"/>
              <w:bottom w:val="single" w:sz="8" w:space="0" w:color="000000"/>
            </w:tcBorders>
          </w:tcPr>
          <w:p>
            <w:pPr>
              <w:pStyle w:val="Normal"/>
              <w:spacing w:before="100" w:after="0"/>
              <w:rPr>
                <w:rFonts w:ascii="Arial" w:hAnsi="Arial" w:cs="Arial"/>
                <w:sz w:val="22"/>
              </w:rPr>
            </w:pPr>
            <w:r>
              <w:rPr>
                <w:rFonts w:cs="Arial" w:ascii="Arial" w:hAnsi="Arial"/>
                <w:sz w:val="22"/>
              </w:rPr>
              <w:t>Energy Industry Segments</w:t>
            </w:r>
          </w:p>
        </w:tc>
        <w:tc>
          <w:tcPr>
            <w:tcW w:w="4788" w:type="dxa"/>
            <w:tcBorders>
              <w:top w:val="single" w:sz="8" w:space="0" w:color="000000"/>
              <w:bottom w:val="single" w:sz="8" w:space="0" w:color="000000"/>
            </w:tcBorders>
          </w:tcPr>
          <w:p>
            <w:pPr>
              <w:pStyle w:val="Normal"/>
              <w:spacing w:before="100" w:after="0"/>
              <w:rPr>
                <w:rFonts w:ascii="Arial" w:hAnsi="Arial" w:cs="Arial"/>
                <w:sz w:val="22"/>
              </w:rPr>
            </w:pPr>
            <w:r>
              <w:rPr>
                <w:rFonts w:cs="Arial" w:ascii="Arial" w:hAnsi="Arial"/>
                <w:sz w:val="22"/>
              </w:rPr>
              <w:t>Description</w:t>
            </w:r>
          </w:p>
        </w:tc>
      </w:tr>
      <w:tr>
        <w:trPr/>
        <w:tc>
          <w:tcPr>
            <w:tcW w:w="4788" w:type="dxa"/>
            <w:tcBorders/>
          </w:tcPr>
          <w:p>
            <w:pPr>
              <w:pStyle w:val="Normal"/>
              <w:numPr>
                <w:ilvl w:val="0"/>
                <w:numId w:val="7"/>
              </w:numPr>
              <w:spacing w:before="100" w:after="0"/>
              <w:rPr>
                <w:rFonts w:ascii="Arial" w:hAnsi="Arial" w:cs="Arial"/>
                <w:sz w:val="22"/>
              </w:rPr>
            </w:pPr>
            <w:r>
              <w:rPr>
                <w:rFonts w:cs="Arial" w:ascii="Arial" w:hAnsi="Arial"/>
                <w:sz w:val="22"/>
              </w:rPr>
              <w:t xml:space="preserve">Energy Producers </w:t>
            </w:r>
          </w:p>
        </w:tc>
        <w:tc>
          <w:tcPr>
            <w:tcW w:w="4788" w:type="dxa"/>
            <w:tcBorders/>
          </w:tcPr>
          <w:p>
            <w:pPr>
              <w:pStyle w:val="Normal"/>
              <w:numPr>
                <w:ilvl w:val="0"/>
                <w:numId w:val="7"/>
              </w:numPr>
              <w:spacing w:before="100" w:after="0"/>
              <w:rPr>
                <w:rFonts w:ascii="Arial" w:hAnsi="Arial" w:cs="Arial"/>
                <w:sz w:val="22"/>
              </w:rPr>
            </w:pPr>
            <w:r>
              <w:rPr>
                <w:rFonts w:cs="Arial" w:ascii="Arial" w:hAnsi="Arial"/>
                <w:sz w:val="22"/>
              </w:rPr>
              <w:t>Natural Gas and Electricity Producers  - Those companies engaged in the production of natural gas primarily for sale to others or engaged in the generation of electricity primarily for sale to others.</w:t>
            </w:r>
          </w:p>
        </w:tc>
      </w:tr>
      <w:tr>
        <w:trPr/>
        <w:tc>
          <w:tcPr>
            <w:tcW w:w="4788" w:type="dxa"/>
            <w:tcBorders/>
          </w:tcPr>
          <w:p>
            <w:pPr>
              <w:pStyle w:val="Normal"/>
              <w:numPr>
                <w:ilvl w:val="0"/>
                <w:numId w:val="6"/>
              </w:numPr>
              <w:spacing w:before="100" w:after="0"/>
              <w:rPr>
                <w:rFonts w:ascii="Arial" w:hAnsi="Arial" w:cs="Arial"/>
                <w:sz w:val="22"/>
              </w:rPr>
            </w:pPr>
            <w:r>
              <w:rPr>
                <w:rFonts w:cs="Arial" w:ascii="Arial" w:hAnsi="Arial"/>
                <w:sz w:val="22"/>
              </w:rPr>
              <w:t>Energy Transmission Provider</w:t>
            </w:r>
          </w:p>
        </w:tc>
        <w:tc>
          <w:tcPr>
            <w:tcW w:w="4788" w:type="dxa"/>
            <w:tcBorders/>
          </w:tcPr>
          <w:p>
            <w:pPr>
              <w:pStyle w:val="Normal"/>
              <w:numPr>
                <w:ilvl w:val="0"/>
                <w:numId w:val="6"/>
              </w:numPr>
              <w:spacing w:before="100" w:after="0"/>
              <w:rPr>
                <w:rFonts w:ascii="Arial" w:hAnsi="Arial" w:cs="Arial"/>
                <w:sz w:val="22"/>
              </w:rPr>
            </w:pPr>
            <w:r>
              <w:rPr>
                <w:rFonts w:cs="Arial" w:ascii="Arial" w:hAnsi="Arial"/>
                <w:sz w:val="22"/>
              </w:rPr>
              <w:t>Natural Gas Pipelines and ISO/RTO/Transco Electricity Transmission Providers  - Those companies which have the bulk of their business activity characterized as the transmission of energy through pipes or wires connected to Energy Producers, other Energy Transmission Providers and/or Energy Distributors and who tend not to deliver energy directly to consumers of that energy.</w:t>
            </w:r>
          </w:p>
        </w:tc>
      </w:tr>
      <w:tr>
        <w:trPr/>
        <w:tc>
          <w:tcPr>
            <w:tcW w:w="4788" w:type="dxa"/>
            <w:tcBorders/>
          </w:tcPr>
          <w:p>
            <w:pPr>
              <w:pStyle w:val="Normal"/>
              <w:numPr>
                <w:ilvl w:val="0"/>
                <w:numId w:val="4"/>
              </w:numPr>
              <w:spacing w:before="100" w:after="0"/>
              <w:rPr>
                <w:rFonts w:ascii="Arial" w:hAnsi="Arial" w:cs="Arial"/>
                <w:sz w:val="22"/>
              </w:rPr>
            </w:pPr>
            <w:r>
              <w:rPr>
                <w:rFonts w:cs="Arial" w:ascii="Arial" w:hAnsi="Arial"/>
                <w:sz w:val="22"/>
              </w:rPr>
              <w:t xml:space="preserve">Energy Distributors </w:t>
            </w:r>
          </w:p>
        </w:tc>
        <w:tc>
          <w:tcPr>
            <w:tcW w:w="4788" w:type="dxa"/>
            <w:tcBorders/>
          </w:tcPr>
          <w:p>
            <w:pPr>
              <w:pStyle w:val="Normal"/>
              <w:numPr>
                <w:ilvl w:val="0"/>
                <w:numId w:val="4"/>
              </w:numPr>
              <w:spacing w:before="100" w:after="0"/>
              <w:rPr>
                <w:rFonts w:ascii="Arial" w:hAnsi="Arial" w:cs="Arial"/>
                <w:sz w:val="22"/>
              </w:rPr>
            </w:pPr>
            <w:r>
              <w:rPr>
                <w:rFonts w:cs="Arial" w:ascii="Arial" w:hAnsi="Arial"/>
                <w:sz w:val="22"/>
              </w:rPr>
              <w:t>Natural Gas and Electricity Distributors – Those companies which have the bulk of their business activity characterized as delivering energy through pipes or wires connected directly to consumers of that energy.</w:t>
            </w:r>
          </w:p>
        </w:tc>
      </w:tr>
      <w:tr>
        <w:trPr/>
        <w:tc>
          <w:tcPr>
            <w:tcW w:w="4788" w:type="dxa"/>
            <w:tcBorders/>
          </w:tcPr>
          <w:p>
            <w:pPr>
              <w:pStyle w:val="Normal"/>
              <w:numPr>
                <w:ilvl w:val="0"/>
                <w:numId w:val="8"/>
              </w:numPr>
              <w:spacing w:before="100" w:after="0"/>
              <w:rPr>
                <w:rFonts w:ascii="Arial" w:hAnsi="Arial" w:cs="Arial"/>
                <w:sz w:val="22"/>
              </w:rPr>
            </w:pPr>
            <w:r>
              <w:rPr>
                <w:rFonts w:cs="Arial" w:ascii="Arial" w:hAnsi="Arial"/>
                <w:sz w:val="22"/>
              </w:rPr>
              <w:t>Energy End-users</w:t>
            </w:r>
          </w:p>
        </w:tc>
        <w:tc>
          <w:tcPr>
            <w:tcW w:w="4788" w:type="dxa"/>
            <w:tcBorders/>
          </w:tcPr>
          <w:p>
            <w:pPr>
              <w:pStyle w:val="Normal"/>
              <w:numPr>
                <w:ilvl w:val="0"/>
                <w:numId w:val="8"/>
              </w:numPr>
              <w:spacing w:before="100" w:after="0"/>
              <w:rPr>
                <w:rFonts w:ascii="Arial" w:hAnsi="Arial" w:cs="Arial"/>
                <w:sz w:val="22"/>
              </w:rPr>
            </w:pPr>
            <w:r>
              <w:rPr>
                <w:rFonts w:cs="Arial" w:ascii="Arial" w:hAnsi="Arial"/>
                <w:sz w:val="22"/>
              </w:rPr>
              <w:t>Natural Gas and Electricity consumers  - Those companies which consume natural gas or electricity in the process of operating their business and which are not otherwise considered an Energy Producer, Energy Transmission Provider, or Energy Distributor.</w:t>
            </w:r>
          </w:p>
        </w:tc>
      </w:tr>
      <w:tr>
        <w:trPr/>
        <w:tc>
          <w:tcPr>
            <w:tcW w:w="4788" w:type="dxa"/>
            <w:tcBorders>
              <w:bottom w:val="single" w:sz="8" w:space="0" w:color="000000"/>
            </w:tcBorders>
          </w:tcPr>
          <w:p>
            <w:pPr>
              <w:pStyle w:val="Normal"/>
              <w:numPr>
                <w:ilvl w:val="0"/>
                <w:numId w:val="2"/>
              </w:numPr>
              <w:spacing w:before="100" w:after="0"/>
              <w:rPr>
                <w:rFonts w:ascii="Arial" w:hAnsi="Arial" w:cs="Arial"/>
                <w:sz w:val="22"/>
              </w:rPr>
            </w:pPr>
            <w:r>
              <w:rPr>
                <w:rFonts w:cs="Arial" w:ascii="Arial" w:hAnsi="Arial"/>
                <w:sz w:val="22"/>
              </w:rPr>
              <w:t xml:space="preserve">Services </w:t>
            </w:r>
          </w:p>
        </w:tc>
        <w:tc>
          <w:tcPr>
            <w:tcW w:w="4788" w:type="dxa"/>
            <w:tcBorders>
              <w:bottom w:val="single" w:sz="8" w:space="0" w:color="000000"/>
            </w:tcBorders>
          </w:tcPr>
          <w:p>
            <w:pPr>
              <w:pStyle w:val="Normal"/>
              <w:numPr>
                <w:ilvl w:val="0"/>
                <w:numId w:val="2"/>
              </w:numPr>
              <w:spacing w:before="100" w:after="0"/>
              <w:rPr>
                <w:rFonts w:ascii="Arial" w:hAnsi="Arial" w:cs="Arial"/>
                <w:sz w:val="22"/>
              </w:rPr>
            </w:pPr>
            <w:r>
              <w:rPr>
                <w:rFonts w:cs="Arial" w:ascii="Arial" w:hAnsi="Arial"/>
                <w:sz w:val="22"/>
              </w:rPr>
              <w:t>Providers of services to participants in the Natural Gas and/or Electricity industries.  This segment includes marketers, software providers, consultants and other companies not otherwise considered to be an Energy Producer, Energy Transmission Provider, Energy Distributor, or Energy End-User.</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both"/>
        <w:rPr/>
      </w:pPr>
      <w:r>
        <w:rPr>
          <w:rFonts w:cs="Arial" w:ascii="Arial" w:hAnsi="Arial"/>
          <w:b/>
          <w:sz w:val="22"/>
        </w:rPr>
        <w:t xml:space="preserve">Membership  -- </w:t>
      </w:r>
      <w:r>
        <w:rPr>
          <w:rFonts w:cs="Arial" w:ascii="Arial" w:hAnsi="Arial"/>
          <w:sz w:val="22"/>
        </w:rPr>
        <w:t>Membership in the standards organization is at the corporate, not individual level.  Members are companies participating in the natural gas and/or electricity markets.  Trade associations, advocacy groups and special interest groups are not considered members.  When joining, members declare the segment with which they are to be identified.  Where applicable, (i.e., for the purpose of serving, or voting with respect to filling seats on, the Executive Committee or Board) members should declare which sub-segment they represent.  Corporate organizations may have multiple companies, which are under common control, individually join as members under one or more segments and sub-segments.  While a corporate organization can have memberships in multiple segments, one company can not join multiple segments nor can a single company be a member of multiple sub-segments.  Members do not extend their membership to affiliates or subsidiaries; the affiliates and subsidiaries join separately.  Members vote to ratify governance changes approved by the Board of Directors and proposed standards approved by the Executive Committee without regard to their segment or sub-segment identification.</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Board of Directors – </w:t>
      </w:r>
      <w:r>
        <w:rPr>
          <w:rFonts w:cs="Arial" w:ascii="Arial" w:hAnsi="Arial"/>
          <w:sz w:val="22"/>
        </w:rPr>
        <w:t xml:space="preserve">The Board of Directors should be responsible for funding, annual plan definition and approval, changes to the governance document and structure, and overall direction of the organization.  It should be composed of five members from each of the five segments.  In addition, at no time should there be less than two members of each segment from the applicable sub-segment.  Each segment on the Board has an equal number of votes.  Agents for member companies are not permitted to be Board members.  Board members are individuals who are elected to the Board from among the membership of the segment according to the segment’s Segment Procedures and, where applicable, their sub-segment’s procedures.  A member is not permitted to substitute other individuals for the elected, named, member of the Board.  A Board Member is permitted to continue to serve as a Board Member for their full term provided such individual continues to be affiliated with a member in good standing which meets the applicable requirements for that segment, and further provided the applicable sub-segment representation and apportionment provisions are met.  The Board is the determining body for scope and other governance issues. A super-majority vote of the Board is required to adopt governance changes.   The Board may create subcommittees as needed to carry out its directives.  Each segment (or sub-segment, as applicable) would, through a vote of its Board Members determine Segment Procedures and through a vote of its sub-segment members, determine Sub-Segment Procedures.  Both such procedures should be reviewed and ratified or rejected by a majority of the Board of Directors including the members of the subject segment.  Such procedures will establish the process for nominating and electing individuals to fill Board and Executive Committee seats.  The standards organization’s office will administer the post-nomination elections pursuant to such procedures.  Absent a change proposed by the applicable segment or sub-segment and absent material deviation from such procedures by a segment (or sub-segment as applicable), the Board of Directors should not, of its own motion, amend or reject previously approved Segment or Sub-Segment Procedures.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Executive Committee – </w:t>
      </w:r>
      <w:r>
        <w:rPr>
          <w:rFonts w:cs="Arial" w:ascii="Arial" w:hAnsi="Arial"/>
          <w:sz w:val="22"/>
        </w:rPr>
        <w:t xml:space="preserve">The Executive Committee is responsible for carrying out the Annual plan. The Annual Plan describes the areas and general priorities for standards development.  The Executive Committee is composed of five segments each with seven (7) members. In addition, at no time should there be less than three members of each segment from the applicable sub-segment.  Each segment on the Executive Committee has an equal number of votes. The Executive Committee votes on the recommended standards, which result from duly constituted Subcommittee and Task Force efforts. Executive Committee members are individuals who are elected to the Executive Committee from among the membership of the segment according to the segment’s procedures and, where applicable, their sub-segment’s procedures.  A member is not permitted to substitute other individuals for the elected, named, member of the Executive Committee.  An Executive Committee Member is permitted to continue to serve as an Executive Committee Member for their full term; provided, such individual continues to be affiliated with a member in good standing which member meets the applicable requirements for that segment; and  further provided that the applicable sub-segment representation and apportionment provisions are met.  The Executive Committee is the determining body for standards issues. The Executive Committee procedures require all of  super-majority, minimum segment, and minimum sub-segment thresholds to be achieved for there to be passage of proposed standards.  The Executive Committee will create subcommittees and task forces as needed to carry out its directives.  </w:t>
      </w:r>
    </w:p>
    <w:p>
      <w:pPr>
        <w:pStyle w:val="Normal"/>
        <w:jc w:val="both"/>
        <w:rPr>
          <w:rFonts w:ascii="Arial" w:hAnsi="Arial" w:cs="Arial"/>
          <w:sz w:val="22"/>
        </w:rPr>
      </w:pPr>
      <w:r>
        <w:rPr>
          <w:rFonts w:cs="Arial" w:ascii="Arial" w:hAnsi="Arial"/>
          <w:sz w:val="22"/>
        </w:rPr>
      </w:r>
    </w:p>
    <w:p>
      <w:pPr>
        <w:pStyle w:val="Normal"/>
        <w:rPr/>
      </w:pPr>
      <w:r>
        <w:rPr>
          <w:rFonts w:cs="Arial" w:ascii="Arial" w:hAnsi="Arial"/>
          <w:b/>
          <w:sz w:val="22"/>
        </w:rPr>
        <w:t xml:space="preserve">Sub-Segments – </w:t>
      </w:r>
      <w:r>
        <w:rPr>
          <w:rFonts w:cs="Arial" w:ascii="Arial" w:hAnsi="Arial"/>
          <w:sz w:val="22"/>
        </w:rPr>
        <w:t xml:space="preserve">Sub-segments are defined as follows: </w:t>
      </w:r>
    </w:p>
    <w:p>
      <w:pPr>
        <w:pStyle w:val="Normal"/>
        <w:ind w:start="720" w:end="0"/>
        <w:rPr>
          <w:rFonts w:ascii="Arial" w:hAnsi="Arial" w:cs="Arial"/>
          <w:sz w:val="22"/>
        </w:rPr>
      </w:pPr>
      <w:r>
        <w:rPr>
          <w:rFonts w:cs="Arial" w:ascii="Arial" w:hAnsi="Arial"/>
          <w:sz w:val="22"/>
        </w:rPr>
        <w:t xml:space="preserve">Natural Gas Producers and Electricity Producers are the two sub-segments within the Energy Producers Segment.  A Natural Gas Producer is defined as a company which has a membership within the standards organization and is a company is engaged in the production of natural gas primarily for sale to others.  An Electricity Producer is defined as a company which has a membership within the standards organization and which generates electricity primarily for sale to others.  </w:t>
      </w:r>
    </w:p>
    <w:p>
      <w:pPr>
        <w:pStyle w:val="Normal"/>
        <w:ind w:start="720" w:end="0"/>
        <w:rPr>
          <w:rFonts w:ascii="Arial" w:hAnsi="Arial" w:cs="Arial"/>
          <w:sz w:val="22"/>
        </w:rPr>
      </w:pPr>
      <w:r>
        <w:rPr>
          <w:rFonts w:cs="Arial" w:ascii="Arial" w:hAnsi="Arial"/>
          <w:sz w:val="22"/>
        </w:rPr>
        <w:t>Natural Gas Pipelines and Electricity Transmission Providers are the two sub-segments within the Energy Transmission Providers segment.  A Natural Gas Pipeline is a company which has a membership within the standards organization, has the bulk of their business activity characterized as the transmission of natural gas through pipes connected to  Natural Gas Producer(s), other Natural Gas Pipeline(s) and/or to Natural Gas Distributor(s) and are companies which tend not to deliver natural gas directly to consumers of that natural gas.  An Electricity Transmission Provider is a company which has a membership within the standards organization, has the bulk of their business activity characterized as the transmission of electricity through wires connected to  Electricity Producer(s), other Electricity Transmission Provider(s) and/or Electricity Distributor(s) and which tend not to deliver electricity directly to consumers of that electricity.</w:t>
      </w:r>
    </w:p>
    <w:p>
      <w:pPr>
        <w:pStyle w:val="Normal"/>
        <w:ind w:start="720" w:end="0"/>
        <w:rPr>
          <w:rFonts w:ascii="Arial" w:hAnsi="Arial" w:cs="Arial"/>
          <w:sz w:val="22"/>
        </w:rPr>
      </w:pPr>
      <w:r>
        <w:rPr>
          <w:rFonts w:cs="Arial" w:ascii="Arial" w:hAnsi="Arial"/>
          <w:sz w:val="22"/>
        </w:rPr>
        <w:t>Natural Gas Distributors and Electricity Distributors are the two sub-segments within the Energy Distributor segment.  A Natural Gas Distributor is a company which has a membership within the standards organization, has the bulk of their business activity characterized as the distribution of natural gas directly to consumers of that natural gas through pipes connected to  Natural Gas Producer(s), Natural Gas Pipeline(s) and/or other Natural Gas Distributor(s).  An Electricity Distributor is a company which has a membership within the standards organization, has the bulk of their business activity characterized as the distribution of electricity directly to consumers of that electricity across wires connected to Electricity Producer(s), Electric Transmission Provider(s) and/or other Electricity Distributor(s).</w:t>
      </w:r>
    </w:p>
    <w:p>
      <w:pPr>
        <w:pStyle w:val="Normal"/>
        <w:ind w:start="720" w:end="0"/>
        <w:rPr>
          <w:rFonts w:ascii="Arial" w:hAnsi="Arial" w:cs="Arial"/>
          <w:sz w:val="22"/>
        </w:rPr>
      </w:pPr>
      <w:r>
        <w:rPr>
          <w:rFonts w:cs="Arial" w:ascii="Arial" w:hAnsi="Arial"/>
          <w:sz w:val="22"/>
        </w:rPr>
        <w:t>There are no standards organization recognized sub-segments within either the Energy End-Users or the Services segments.</w:t>
      </w:r>
    </w:p>
    <w:p>
      <w:pPr>
        <w:pStyle w:val="Normal"/>
        <w:ind w:start="720" w:end="0"/>
        <w:rPr>
          <w:rFonts w:ascii="Arial" w:hAnsi="Arial" w:cs="Arial"/>
          <w:sz w:val="22"/>
        </w:rPr>
      </w:pPr>
      <w:r>
        <w:rPr>
          <w:rFonts w:cs="Arial" w:ascii="Arial" w:hAnsi="Arial"/>
          <w:sz w:val="22"/>
        </w:rPr>
      </w:r>
    </w:p>
    <w:p>
      <w:pPr>
        <w:pStyle w:val="Normal"/>
        <w:rPr/>
      </w:pPr>
      <w:r>
        <w:rPr>
          <w:rFonts w:cs="Arial" w:ascii="Arial" w:hAnsi="Arial"/>
          <w:b/>
          <w:sz w:val="22"/>
        </w:rPr>
        <w:t xml:space="preserve">Segment and Sub-Segment Declaration: </w:t>
      </w:r>
      <w:r>
        <w:rPr>
          <w:rFonts w:cs="Arial" w:ascii="Arial" w:hAnsi="Arial"/>
          <w:sz w:val="22"/>
        </w:rPr>
        <w:t xml:space="preserve">A company, which joins the standards organization as a member, should declare their segment identification upon joining.  Further, a company, which joins the standards organization within one of the segments which has sub-segments, should identify their sub-segment upon joining.  Such segment and sub-segment declaration(s) shall persist at least until the company’s next annual membership renewal at which point the member may re-designate their segment (as appropriate) and sub-segment where applicable.  No individual member company may designate themselves as a member of more than one segment, nor as a member of more than one sub-segment within a segment at any one time. </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 xml:space="preserve">Segment and Sub-segment Procedures: </w:t>
      </w:r>
      <w:r>
        <w:rPr>
          <w:rFonts w:cs="Arial" w:ascii="Arial" w:hAnsi="Arial"/>
          <w:sz w:val="22"/>
        </w:rPr>
        <w:t xml:space="preserve">There should be segment nomination procedures governing the nomination process for segment-wide (“at-large”) elections to fill seats on the Board and Executive Committee where such elections are to occur.  Such procedures should set forth the post-nomination election procedures to be administered by the standards organization’s administrative office.  Such segment procedures are to be reviewed and approved or rejected by a majority vote by the Board of Directors.  </w:t>
      </w:r>
    </w:p>
    <w:p>
      <w:pPr>
        <w:pStyle w:val="Normal"/>
        <w:rPr>
          <w:rFonts w:ascii="Arial" w:hAnsi="Arial" w:cs="Arial"/>
          <w:sz w:val="22"/>
        </w:rPr>
      </w:pPr>
      <w:r>
        <w:rPr>
          <w:rFonts w:cs="Arial" w:ascii="Arial" w:hAnsi="Arial"/>
          <w:sz w:val="22"/>
        </w:rPr>
        <w:t xml:space="preserve">In addition, there should be sub-segment nomination procedures governing the nomination process for sub-segment elections to fill seats on the Board and Executive Committee where such elections are to occur.  Such procedures should set forth the post-nomination election procedures to be administered by the standards organization’s administrative office.  Such sub-segment procedures are also to be reviewed and approved or rejected by a majority vote by the Board of Directors.   </w:t>
      </w:r>
    </w:p>
    <w:p>
      <w:pPr>
        <w:pStyle w:val="Normal"/>
        <w:rPr>
          <w:rFonts w:ascii="Arial" w:hAnsi="Arial" w:cs="Arial"/>
          <w:sz w:val="22"/>
        </w:rPr>
      </w:pPr>
      <w:r>
        <w:rPr>
          <w:rFonts w:cs="Arial" w:ascii="Arial" w:hAnsi="Arial"/>
          <w:sz w:val="22"/>
        </w:rPr>
        <w:t>In the event of a dispute with respect to a sub-segment’s apportionment of seats on the Board or Executive Committee, a majority of individuals from among those members of a sub-segment sitting on either the Board or Executive Committee(s) may petition the Board to resolve the dispute.  Such dispute will be heard by the Board according to procedures that the Board adopts and publishes from time to time.  A resolution of such dispute should be made by either the withdrawal of the petition by a majority of the petitioners or by a majority vote of the Board members in attendance excluding from such vote the members of the segment to which the dispute pertains.</w:t>
      </w:r>
    </w:p>
    <w:p>
      <w:pPr>
        <w:pStyle w:val="Normal"/>
        <w:rPr>
          <w:rFonts w:ascii="Arial" w:hAnsi="Arial" w:cs="Arial"/>
          <w:sz w:val="22"/>
        </w:rPr>
      </w:pPr>
      <w:r>
        <w:rPr>
          <w:rFonts w:cs="Arial" w:ascii="Arial" w:hAnsi="Arial"/>
          <w:sz w:val="22"/>
        </w:rPr>
      </w:r>
    </w:p>
    <w:p>
      <w:pPr>
        <w:pStyle w:val="BodyTextIndent"/>
        <w:ind w:start="0" w:end="0"/>
        <w:rPr/>
      </w:pPr>
      <w:r>
        <w:rPr>
          <w:b/>
          <w:sz w:val="22"/>
        </w:rPr>
        <w:t xml:space="preserve">Governance Change Passage Threshold: </w:t>
      </w:r>
      <w:r>
        <w:rPr>
          <w:sz w:val="22"/>
        </w:rPr>
        <w:t>The threshold to pass a governance change (amendment to the charter or bylaws) should change from “19 and 2” to “19, 2 and 1”.  “19, 2 and 1” means that when counting the votes of a segment which has sub-segments, the segment as a whole must have at least 2 votes in the affirmative and at least one vote in the affirmative from each sub-segment (where there is such sub-segment).  This constitutes a slightly higher percentage in total, and is intended to ensure that within the sub-segment segments, there is the ability of both a segment as a whole and a sub-segment as necessary to protect its interests from a “tyranny of the majority”.  In addition, it permits the organization to move forward with standards without a “tyranny of the minority”.</w:t>
      </w:r>
    </w:p>
    <w:p>
      <w:pPr>
        <w:pStyle w:val="BodyTextIndent"/>
        <w:ind w:start="0" w:end="0"/>
        <w:rPr>
          <w:b/>
          <w:sz w:val="22"/>
        </w:rPr>
      </w:pPr>
      <w:r>
        <w:rPr>
          <w:b/>
          <w:sz w:val="22"/>
        </w:rPr>
      </w:r>
    </w:p>
    <w:p>
      <w:pPr>
        <w:pStyle w:val="BodyTextIndent"/>
        <w:ind w:start="0" w:end="0"/>
        <w:rPr/>
      </w:pPr>
      <w:r>
        <w:rPr>
          <w:b/>
          <w:sz w:val="22"/>
        </w:rPr>
        <w:t xml:space="preserve">Standards Passage Threshold: </w:t>
      </w:r>
      <w:r>
        <w:rPr>
          <w:sz w:val="22"/>
        </w:rPr>
        <w:t xml:space="preserve">The threshold to pass a Standard should change from “17 and 2” to “25, 2 and 1”.  “25, 2 and 1” means that when counting the votes of a segment which has sub-segments, the segment as a whole must have at least 2 votes in the affirmative and at least one vote in the affirmative from each sub-segment (where there is such sub-segment).   This constitutes a slightly higher percentage in total, and is intended to ensure that within the sub-segment segments, there is the ability of both a segment as a whole and a sub-segment as necessary to protect its interests from a “tyranny of the majority”.  In addition, it permits the organization to move forward with standards without a “tyranny of the minority”.  Note:  as compared to the old GISB standard’s passage thresholds, there are an additional 10 people on the EC and this provision requires that 8 of the newly added members vote in the affirmative for a standard to be passed. This is a very high percentage and is intended to underscore the desire that standards be developed as much as reasonable by consensus while at the same time not requiring an unworkably high threshold.  </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 xml:space="preserve">Advisory Committee – </w:t>
      </w:r>
      <w:r>
        <w:rPr>
          <w:rFonts w:cs="Arial" w:ascii="Arial" w:hAnsi="Arial"/>
          <w:sz w:val="22"/>
        </w:rPr>
        <w:t xml:space="preserve">The Advisory Committee is composed of interested regulators and other governmental officials.  It advises with respect to, and may propose that the Board consider, items for the annual plan and direction of the organization. </w:t>
      </w:r>
    </w:p>
    <w:p>
      <w:pPr>
        <w:pStyle w:val="Normal"/>
        <w:rPr>
          <w:rFonts w:ascii="Arial" w:hAnsi="Arial" w:cs="Arial"/>
          <w:sz w:val="22"/>
        </w:rPr>
      </w:pPr>
      <w:r>
        <w:rPr>
          <w:rFonts w:cs="Arial" w:ascii="Arial" w:hAnsi="Arial"/>
          <w:sz w:val="22"/>
        </w:rPr>
      </w:r>
    </w:p>
    <w:p>
      <w:pPr>
        <w:pStyle w:val="Normal"/>
        <w:jc w:val="both"/>
        <w:rPr/>
      </w:pPr>
      <w:r>
        <w:rPr>
          <w:rFonts w:cs="Arial" w:ascii="Arial" w:hAnsi="Arial"/>
          <w:b/>
          <w:sz w:val="22"/>
        </w:rPr>
        <w:t xml:space="preserve">Interested Public – </w:t>
      </w:r>
      <w:r>
        <w:rPr>
          <w:rFonts w:cs="Arial" w:ascii="Arial" w:hAnsi="Arial"/>
          <w:sz w:val="22"/>
        </w:rPr>
        <w:t>Nonmembers can participate in any subcommittee or task force and attend the Board and Executive Committee meetings.  They are asked to comment on all proposed standards prior to consideration by the Executive Committee.</w:t>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rPr>
        <w:t xml:space="preserve">Standing Business Practices Subcommittees: </w:t>
      </w:r>
      <w:r>
        <w:rPr>
          <w:rFonts w:cs="Arial" w:ascii="Arial" w:hAnsi="Arial"/>
          <w:sz w:val="22"/>
        </w:rPr>
        <w:t>The Executive Committee should establish three Business Practice Subcommittees.  One should be a wholesale electricity Business Practices Subcommittee, another should be a wholesale natural gas Business Practices Subcommittee, and the third should be a retail energy Business Practices Subcommittee.</w:t>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rPr>
        <w:t xml:space="preserve">Special Purpose Business Practices Task Forces: </w:t>
      </w:r>
      <w:r>
        <w:rPr>
          <w:rFonts w:cs="Arial" w:ascii="Arial" w:hAnsi="Arial"/>
          <w:sz w:val="22"/>
        </w:rPr>
        <w:t xml:space="preserve">For standards issues that are applicable to, or determined by a majority vote of the Executive Committee to affect, both electricity and natural gas interests, yet which are not appropriate for processing by the Retail Energy Business Practices Subcommittee, the Executive Committee should appoint  representatives from among its or the Board’s membership to Chair a business practices task force with an Executive Committee-defined scope and purpose.  Such business practices task force(s) would address issues that the Executive Committee determines are to be addressed by such task force(s) from time to time. </w:t>
      </w:r>
    </w:p>
    <w:p>
      <w:pPr>
        <w:pStyle w:val="BodyTextIndent"/>
        <w:ind w:start="0" w:end="0"/>
        <w:rPr>
          <w:rFonts w:ascii="Arial" w:hAnsi="Arial" w:cs="Arial"/>
          <w:sz w:val="22"/>
        </w:rPr>
      </w:pPr>
      <w:r>
        <w:rPr>
          <w:rFonts w:cs="Arial"/>
          <w:sz w:val="22"/>
        </w:rPr>
      </w:r>
    </w:p>
    <w:p>
      <w:pPr>
        <w:pStyle w:val="BodyTextIndent"/>
        <w:ind w:start="0" w:end="0"/>
        <w:rPr/>
      </w:pPr>
      <w:r>
        <w:rPr>
          <w:b/>
          <w:sz w:val="22"/>
        </w:rPr>
        <w:t xml:space="preserve">Other Operating Practices and Procedural Matters: </w:t>
      </w:r>
      <w:r>
        <w:rPr>
          <w:sz w:val="22"/>
        </w:rPr>
        <w:t xml:space="preserve">There should be one Super-Triage (15 co-chairs from the three BPS’s) which would review and recommend to the one EC how and to which subcommittees requests should be directed for processing.  </w:t>
      </w:r>
    </w:p>
    <w:p>
      <w:pPr>
        <w:pStyle w:val="BodyTextIndent"/>
        <w:ind w:start="0" w:end="0"/>
        <w:rPr>
          <w:sz w:val="22"/>
        </w:rPr>
      </w:pPr>
      <w:r>
        <w:rPr>
          <w:sz w:val="22"/>
        </w:rPr>
        <w:t xml:space="preserve">In addition to the three BPS’s, there should be one super-Information Requirements Subcommittee, one super-Technical Subcommittee, and one super-Interpretations Committee.  Finally, within 30 days of the election of new EC and Board members, there should be all new elections of Chairs of these Committees and Subcommittees.  </w:t>
      </w:r>
    </w:p>
    <w:p>
      <w:pPr>
        <w:pStyle w:val="BodyTextIndent"/>
        <w:ind w:start="0" w:end="0"/>
        <w:rPr>
          <w:sz w:val="22"/>
        </w:rPr>
      </w:pPr>
      <w:r>
        <w:rPr>
          <w:sz w:val="22"/>
        </w:rPr>
        <w:t xml:space="preserve">The Process Committee shall be comprised of members of the Board and Executive Committee.  Executive Committee processes (Operating Practices) and the processes of committees and task forces established by the Executive Committee should first be approved by the Process Subcommittee and then approved or rejected by the Executive Committee.  Board Committee processes may be proposed by the Process Subcommittee and reviewed, modified, approved or rejected by the Board.  </w:t>
      </w:r>
    </w:p>
    <w:p>
      <w:pPr>
        <w:pStyle w:val="BodyTextIndent"/>
        <w:ind w:start="0" w:end="0"/>
        <w:rPr>
          <w:sz w:val="22"/>
        </w:rPr>
      </w:pPr>
      <w:r>
        <w:rPr>
          <w:sz w:val="22"/>
        </w:rPr>
        <w:t xml:space="preserve">The Board on its own motion may also establish, by majority vote, its own procedures from time to time.  </w:t>
      </w:r>
    </w:p>
    <w:p>
      <w:pPr>
        <w:pStyle w:val="BodyTextIndent"/>
        <w:ind w:start="0" w:end="0"/>
        <w:rPr>
          <w:sz w:val="22"/>
        </w:rPr>
      </w:pPr>
      <w:r>
        <w:rPr>
          <w:sz w:val="22"/>
        </w:rPr>
        <w:t>No procedure or Operating Practice may be adopted by any committee, subcommittee  or task force such that it is in conflict with the governing documents of the Standards Organization.  A procedure or process, which is deemed to be in conflict with the governing documents, may be appealed by any standards organization member to the Process Committee.  Upon such appeal, the Process Committee will convene and promptly make a determination.  Such determination will be reviewed, modified, approved or rejected by the Board at either a regularly scheduled meeting or a special meeting.  The Board Officers will determine whether the Process Committee’s determination will be reviewed at either a regularly scheduled meeting or a special meeting.</w:t>
      </w:r>
    </w:p>
    <w:p>
      <w:pPr>
        <w:pStyle w:val="BodyTextIndent"/>
        <w:ind w:start="0" w:end="0"/>
        <w:rPr>
          <w:b/>
          <w:sz w:val="22"/>
        </w:rPr>
      </w:pPr>
      <w:r>
        <w:rPr>
          <w:b/>
          <w:sz w:val="22"/>
        </w:rPr>
      </w:r>
    </w:p>
    <w:p>
      <w:pPr>
        <w:pStyle w:val="BodyTextIndent"/>
        <w:ind w:start="0" w:end="0"/>
        <w:rPr/>
      </w:pPr>
      <w:r>
        <w:rPr>
          <w:b/>
          <w:sz w:val="22"/>
        </w:rPr>
        <w:t xml:space="preserve">Balanced Voting: </w:t>
      </w:r>
      <w:r>
        <w:rPr>
          <w:sz w:val="22"/>
        </w:rPr>
        <w:t xml:space="preserve">In addition to the identified procedures for voting upon proposed standards at the Executive Committee, all votes in the business practice subcommittees and task forces which are deemed by the Executive Committee to have a business practices scope, should be majority votes, recorded by segment, with each segment  being provided three votes in total.  These three votes would be apportioned on a no more than one vote per one company basis among those companies in attendance.  When there are more than three companies within a segment in attendance the three votes per segment would be apportioned equally among the attendees within each segment.  Abstentions are not counted in the apportionment of votes.  There are no sub-segments recognized at other than the Executive Committee and Board levels.   </w:t>
      </w:r>
    </w:p>
    <w:p>
      <w:pPr>
        <w:pStyle w:val="BodyTextIndent"/>
        <w:spacing w:before="100" w:after="120"/>
        <w:ind w:start="0" w:end="0"/>
        <w:rPr>
          <w:b/>
          <w:sz w:val="22"/>
        </w:rPr>
      </w:pPr>
      <w:r>
        <w:rPr>
          <w:b/>
          <w:sz w:val="22"/>
        </w:rPr>
      </w:r>
    </w:p>
    <w:p>
      <w:pPr>
        <w:pStyle w:val="BodyTextIndent"/>
        <w:spacing w:before="100" w:after="120"/>
        <w:ind w:start="0" w:end="0"/>
        <w:rPr/>
      </w:pPr>
      <w:r>
        <w:rPr>
          <w:b/>
          <w:sz w:val="22"/>
        </w:rPr>
        <w:t>New Elections:</w:t>
      </w:r>
      <w:r>
        <w:rPr>
          <w:sz w:val="22"/>
        </w:rPr>
        <w:t xml:space="preserve"> Once the new governance document is approved, all year 2000 and 2001 expiring Executive Committee seats as well as the two new ones in each segment are put up for election.  This should be concluded 30-60 days after either a Board vote to change the existing GISB Charter or 30 – 60 days after adoption by the standards organization of a new Charter.</w:t>
      </w:r>
    </w:p>
    <w:p>
      <w:pPr>
        <w:pStyle w:val="BodyTextIndent"/>
        <w:spacing w:before="100" w:after="120"/>
        <w:ind w:start="0" w:end="0"/>
        <w:rPr>
          <w:sz w:val="22"/>
        </w:rPr>
      </w:pPr>
      <w:r>
        <w:rPr>
          <w:sz w:val="22"/>
        </w:rPr>
        <w:t xml:space="preserve">In addition, should the Board vote to change the existing GISB Charter, all Year 2000 expiring Board seats will be up for an early election (i.e., 30-60 days after elections are held. </w:t>
      </w:r>
    </w:p>
    <w:p>
      <w:pPr>
        <w:pStyle w:val="BodyTextIndent"/>
        <w:ind w:start="0" w:end="0"/>
        <w:rPr>
          <w:sz w:val="22"/>
        </w:rPr>
      </w:pPr>
      <w:r>
        <w:rPr>
          <w:sz w:val="22"/>
        </w:rPr>
      </w:r>
    </w:p>
    <w:p>
      <w:pPr>
        <w:pStyle w:val="BodyTextIndent"/>
        <w:ind w:start="0" w:end="0"/>
        <w:rPr>
          <w:b/>
          <w:sz w:val="22"/>
        </w:rPr>
      </w:pPr>
      <w:r>
        <w:rPr>
          <w:b/>
          <w:sz w:val="22"/>
        </w:rPr>
        <w:t xml:space="preserve">Funding: </w:t>
      </w:r>
    </w:p>
    <w:p>
      <w:pPr>
        <w:pStyle w:val="BodyTextIndent"/>
        <w:ind w:hanging="360" w:start="1080" w:end="0"/>
        <w:rPr>
          <w:sz w:val="22"/>
        </w:rPr>
      </w:pPr>
      <w:r>
        <w:rPr>
          <w:sz w:val="22"/>
        </w:rPr>
        <w:t>1.</w:t>
        <w:tab/>
        <w:t>Y2K dues remain at 5K/membership.</w:t>
      </w:r>
    </w:p>
    <w:p>
      <w:pPr>
        <w:pStyle w:val="BodyTextIndent"/>
        <w:ind w:hanging="360" w:start="1080" w:end="0"/>
        <w:rPr>
          <w:sz w:val="22"/>
        </w:rPr>
      </w:pPr>
      <w:r>
        <w:rPr>
          <w:sz w:val="22"/>
        </w:rPr>
        <w:t>2.</w:t>
        <w:tab/>
        <w:t>Sponsorship Dollars are solicited with no guarantee that they will be credited against future dues.</w:t>
      </w:r>
      <w:r>
        <w:br w:type="page"/>
      </w:r>
    </w:p>
    <w:p>
      <w:pPr>
        <w:pStyle w:val="Normal"/>
        <w:spacing w:before="0" w:after="0"/>
        <w:jc w:val="center"/>
        <w:rPr>
          <w:rFonts w:ascii="Arial" w:hAnsi="Arial" w:cs="Arial"/>
          <w:b/>
          <w:sz w:val="28"/>
          <w:u w:val="single"/>
        </w:rPr>
      </w:pPr>
      <w:r>
        <w:rPr>
          <w:rFonts w:cs="Arial" w:ascii="Arial" w:hAnsi="Arial"/>
          <w:b/>
          <w:sz w:val="28"/>
          <w:u w:val="single"/>
        </w:rPr>
        <w:t>Conceptual Governance Structure Summary</w:t>
      </w:r>
    </w:p>
    <w:p>
      <w:pPr>
        <w:pStyle w:val="BodyTextIndent"/>
        <w:spacing w:before="0" w:after="0"/>
        <w:ind w:start="0" w:end="0"/>
        <w:rPr>
          <w:b/>
          <w:sz w:val="28"/>
        </w:rPr>
      </w:pPr>
      <w:r>
        <w:rPr>
          <w:b/>
          <w:sz w:val="28"/>
        </w:rPr>
        <w:t>Board:</w:t>
      </w:r>
    </w:p>
    <w:p>
      <w:pPr>
        <w:pStyle w:val="Normal"/>
        <w:spacing w:before="100" w:after="240"/>
        <w:ind w:start="720" w:end="0"/>
        <w:rPr>
          <w:rFonts w:ascii="Arial" w:hAnsi="Arial" w:cs="Arial"/>
          <w:b/>
          <w:sz w:val="28"/>
        </w:rPr>
      </w:pPr>
      <w:r>
        <w:rPr>
          <w:rFonts w:cs="Arial" w:ascii="Arial" w:hAnsi="Arial"/>
          <w:b/>
          <w:sz w:val="28"/>
        </w:rPr>
        <w:t xml:space="preserve">Five Segments, five members each.  There are sub-segments within the Energy Producer, Energy Transmission Provider and Energy Distributor segments.  There is an apportionment in these three segments such that at no time are there less than 2 members from each sub-segment.  The remaining seat member is nominated from among and elected by all members identified within the segment on an “at-large” basis.  Current Year 2000 expiration Board Members stand for election after Board votes new structure. The governance change-voting threshold becomes 19, 2 and 1. </w:t>
      </w:r>
    </w:p>
    <w:p>
      <w:pPr>
        <w:pStyle w:val="Heading2"/>
        <w:ind w:start="1440" w:end="0"/>
        <w:rPr>
          <w:rFonts w:ascii="Arial" w:hAnsi="Arial" w:cs="Arial"/>
          <w:b/>
          <w:sz w:val="28"/>
        </w:rPr>
      </w:pPr>
      <w:r>
        <w:rPr>
          <w:rFonts w:cs="Arial" w:ascii="Arial" w:hAnsi="Arial"/>
          <w:b/>
          <w:sz w:val="28"/>
        </w:rPr>
        <w:t>Segment composition: Five Segments</w:t>
      </w:r>
    </w:p>
    <w:p>
      <w:pPr>
        <w:pStyle w:val="BodyTextIndent"/>
        <w:ind w:start="720" w:end="0"/>
        <w:rPr>
          <w:b/>
          <w:sz w:val="28"/>
        </w:rPr>
      </w:pPr>
      <w:r>
        <w:rPr>
          <w:b/>
          <w:sz w:val="28"/>
        </w:rPr>
        <w:t xml:space="preserve">1. Energy Producers: </w:t>
      </w:r>
    </w:p>
    <w:p>
      <w:pPr>
        <w:pStyle w:val="BodyTextIndent"/>
        <w:spacing w:before="100" w:after="120"/>
        <w:rPr>
          <w:b/>
          <w:sz w:val="28"/>
        </w:rPr>
      </w:pPr>
      <w:r>
        <w:rPr>
          <w:b/>
          <w:sz w:val="28"/>
        </w:rPr>
        <w:t>To include all producers of energy, i.e., electricity gas, oil, coal, etc. There are two sub-segments.  At the Board, there are a no less than two members of each sub-segment with the fifth member standing for election on a segment wide basis.  At the EC level there are no less than 3 members of each sub-segment with the seventh member standing for election on a segment wide basis.</w:t>
      </w:r>
    </w:p>
    <w:p>
      <w:pPr>
        <w:pStyle w:val="BodyTextIndent"/>
        <w:spacing w:before="0" w:after="0"/>
        <w:ind w:start="720" w:end="0"/>
        <w:rPr>
          <w:b/>
          <w:sz w:val="28"/>
        </w:rPr>
      </w:pPr>
      <w:r>
        <w:rPr>
          <w:b/>
          <w:sz w:val="28"/>
        </w:rPr>
        <w:t xml:space="preserve">2. Energy Transmission Providers: </w:t>
      </w:r>
    </w:p>
    <w:p>
      <w:pPr>
        <w:pStyle w:val="BodyTextIndent"/>
        <w:spacing w:before="100" w:after="120"/>
        <w:rPr>
          <w:b/>
          <w:sz w:val="28"/>
        </w:rPr>
      </w:pPr>
      <w:r>
        <w:rPr>
          <w:b/>
          <w:sz w:val="28"/>
        </w:rPr>
        <w:t>To include all wholesale transmission of energy Electricity (ISO/RTO/Transco) and Gas (Interstate and Interprovincial Pipelines) At the Board, there are a no less than two members of each sub-segment with the fifth member standing for election on a segment wide basis.  At the EC level there are no less than 3 members of each sub-segment with the seventh member standing for election on a segment wide basis.</w:t>
      </w:r>
    </w:p>
    <w:p>
      <w:pPr>
        <w:pStyle w:val="BodyTextIndent"/>
        <w:spacing w:before="0" w:after="0"/>
        <w:ind w:start="720" w:end="0"/>
        <w:rPr>
          <w:b/>
          <w:sz w:val="28"/>
        </w:rPr>
      </w:pPr>
      <w:r>
        <w:rPr>
          <w:b/>
          <w:sz w:val="28"/>
        </w:rPr>
        <w:t>3. Energy Distributors:</w:t>
      </w:r>
    </w:p>
    <w:p>
      <w:pPr>
        <w:pStyle w:val="BodyTextIndent"/>
        <w:spacing w:before="100" w:after="120"/>
        <w:rPr>
          <w:b/>
          <w:sz w:val="28"/>
        </w:rPr>
      </w:pPr>
      <w:r>
        <w:rPr>
          <w:b/>
          <w:sz w:val="28"/>
        </w:rPr>
        <w:t>To include all retail delivery of energy (EDC’s and LDC’s) At the Board, there are a no less than two members of each sub-segment with the fifth member standing for election on a segment wide basis.  At the EC level there are no less than 3 members of each sub-segment with the seventh member standing for election on a segment wide basis.</w:t>
      </w:r>
    </w:p>
    <w:p>
      <w:pPr>
        <w:pStyle w:val="BodyTextIndent"/>
        <w:spacing w:before="0" w:after="0"/>
        <w:ind w:start="720" w:end="0"/>
        <w:rPr>
          <w:b/>
          <w:sz w:val="28"/>
        </w:rPr>
      </w:pPr>
      <w:r>
        <w:rPr>
          <w:b/>
          <w:sz w:val="28"/>
        </w:rPr>
        <w:t>4. Services:</w:t>
      </w:r>
    </w:p>
    <w:p>
      <w:pPr>
        <w:pStyle w:val="BodyTextIndent"/>
        <w:spacing w:before="100" w:after="120"/>
        <w:rPr>
          <w:b/>
          <w:sz w:val="28"/>
        </w:rPr>
      </w:pPr>
      <w:r>
        <w:rPr>
          <w:b/>
          <w:sz w:val="28"/>
        </w:rPr>
        <w:t xml:space="preserve">Same composition as today – likely to be new members.  There are no sub-segments within the Services segment, all Board and EC members stand for election on a segment-wide basis </w:t>
      </w:r>
    </w:p>
    <w:p>
      <w:pPr>
        <w:pStyle w:val="BodyTextIndent"/>
        <w:spacing w:before="0" w:after="0"/>
        <w:ind w:start="720" w:end="0"/>
        <w:rPr>
          <w:b/>
          <w:sz w:val="28"/>
        </w:rPr>
      </w:pPr>
      <w:r>
        <w:rPr>
          <w:b/>
          <w:sz w:val="28"/>
        </w:rPr>
        <w:t>5. Energy End-users:</w:t>
      </w:r>
    </w:p>
    <w:p>
      <w:pPr>
        <w:pStyle w:val="BodyTextIndent"/>
        <w:spacing w:before="100" w:after="240"/>
        <w:rPr>
          <w:b/>
          <w:sz w:val="28"/>
        </w:rPr>
      </w:pPr>
      <w:r>
        <w:rPr>
          <w:b/>
          <w:sz w:val="28"/>
        </w:rPr>
        <w:t>Consumers of transmitted or distributed energy (natural gas or electricity). There are no sub-segments within the Energy End-users segment, all Board and EC members stand for election on a segment-wide basis</w:t>
      </w:r>
    </w:p>
    <w:p>
      <w:pPr>
        <w:pStyle w:val="BodyTextIndent"/>
        <w:spacing w:before="0" w:after="0"/>
        <w:ind w:start="0" w:end="0"/>
        <w:rPr>
          <w:b/>
          <w:sz w:val="28"/>
        </w:rPr>
      </w:pPr>
      <w:r>
        <w:rPr>
          <w:b/>
          <w:sz w:val="28"/>
        </w:rPr>
        <w:t xml:space="preserve">Executive Committee: </w:t>
      </w:r>
    </w:p>
    <w:p>
      <w:pPr>
        <w:pStyle w:val="BodyTextIndent"/>
        <w:spacing w:before="100" w:after="120"/>
        <w:ind w:start="720" w:end="0"/>
        <w:rPr>
          <w:b/>
          <w:sz w:val="28"/>
        </w:rPr>
      </w:pPr>
      <w:r>
        <w:rPr>
          <w:b/>
          <w:sz w:val="28"/>
        </w:rPr>
        <w:t>Same five segments.  Seven members each. There are sub-segments within the Energy Producer, Energy Transmission Provider and Energy Distributor segments.  There is an apportionment in these three segments such that at no time are there less than 3 members from each sub-segment.  The remaining seat member is nominated from among and elected by all members identified within the segment on an “at-large” basis.  All Y2K and Y2001 seats as well as the two new ones in each segment are put up for election 30-60 days after Board votes to change Charter.  Nominations subject to sub-segment provisions</w:t>
      </w:r>
    </w:p>
    <w:p>
      <w:pPr>
        <w:pStyle w:val="BodyTextIndent"/>
        <w:spacing w:before="0" w:after="240"/>
        <w:ind w:start="720" w:end="0"/>
        <w:rPr>
          <w:b/>
          <w:sz w:val="28"/>
        </w:rPr>
      </w:pPr>
      <w:r>
        <w:rPr>
          <w:b/>
          <w:sz w:val="28"/>
        </w:rPr>
        <w:t>Standards threshold 25, 2 and 1(slightly higher pct than 17 and 2)</w:t>
      </w:r>
    </w:p>
    <w:p>
      <w:pPr>
        <w:pStyle w:val="BodyTextIndent"/>
        <w:spacing w:before="0" w:after="0"/>
        <w:ind w:start="0" w:end="0"/>
        <w:rPr>
          <w:b/>
          <w:sz w:val="28"/>
        </w:rPr>
      </w:pPr>
      <w:r>
        <w:rPr>
          <w:b/>
          <w:sz w:val="28"/>
        </w:rPr>
        <w:t>Other Committees:</w:t>
      </w:r>
    </w:p>
    <w:p>
      <w:pPr>
        <w:pStyle w:val="BodyTextIndent"/>
        <w:ind w:start="720" w:end="0"/>
        <w:rPr>
          <w:b/>
          <w:sz w:val="28"/>
        </w:rPr>
      </w:pPr>
      <w:r>
        <w:rPr>
          <w:b/>
          <w:sz w:val="28"/>
        </w:rPr>
        <w:t>One Super-Triage (15 co-chairs from the three BPS’s), Three BPS’s (Retail, Wholesale gas and Wholesale electricity), One Super-IR, One Super-Technical, One Super-Interpretations – all new elections of Chairs.</w:t>
      </w:r>
    </w:p>
    <w:p>
      <w:pPr>
        <w:pStyle w:val="BodyTextIndent"/>
        <w:ind w:start="720" w:end="0"/>
        <w:rPr>
          <w:b/>
          <w:sz w:val="28"/>
        </w:rPr>
      </w:pPr>
      <w:r>
        <w:rPr>
          <w:b/>
          <w:sz w:val="28"/>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Brush Script">
    <w:altName w:val="Courier New"/>
    <w:charset w:val="00" w:characterSet="windows-1252"/>
    <w:family w:val="script"/>
    <w:pitch w:val="variable"/>
  </w:font>
  <w:font w:name="CG Times">
    <w:charset w:val="00" w:characterSet="windows-1252"/>
    <w:family w:val="roman"/>
    <w:pitch w:val="variable"/>
  </w:font>
  <w:font w:name="Wingdings">
    <w:charset w:val="02"/>
    <w:family w:val="auto"/>
    <w:pitch w:val="variable"/>
  </w:font>
  <w:font w:name="Helvetica">
    <w:altName w:val="Arial"/>
    <w:charset w:val="00" w:characterSet="windows-1252"/>
    <w:family w:val="swiss"/>
    <w:pitch w:val="variable"/>
  </w:font>
  <w:font w:name="Arial Narrow">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00" w:after="0"/>
      <w:jc w:val="end"/>
      <w:rPr/>
    </w:pPr>
    <w:r>
      <w:rPr/>
      <w:t>____________________________________________________________________________________________</w:t>
    </w:r>
  </w:p>
  <w:p>
    <w:pPr>
      <w:pStyle w:val="Footer"/>
      <w:widowControl/>
      <w:spacing w:before="0" w:after="0"/>
      <w:jc w:val="end"/>
      <w:rPr>
        <w:sz w:val="18"/>
      </w:rPr>
    </w:pPr>
    <w:r>
      <w:rPr>
        <w:sz w:val="18"/>
      </w:rPr>
      <w:t>Energy Standards Organization  - Draft 2 - July 30, 2000</w:t>
    </w:r>
  </w:p>
  <w:p>
    <w:pPr>
      <w:pStyle w:val="Footer"/>
      <w:widowControl/>
      <w:spacing w:before="0" w:after="0"/>
      <w:jc w:val="end"/>
      <w:rPr/>
    </w:pPr>
    <w:r>
      <w:rPr>
        <w:sz w:val="18"/>
      </w:rPr>
      <w:t xml:space="preserve">Page </w:t>
    </w:r>
    <w:r>
      <w:rPr>
        <w:sz w:val="18"/>
      </w:rPr>
      <w:fldChar w:fldCharType="begin"/>
    </w:r>
    <w:r>
      <w:rPr>
        <w:sz w:val="18"/>
      </w:rPr>
      <w:instrText xml:space="preserve"> PAGE </w:instrText>
    </w:r>
    <w:r>
      <w:rPr>
        <w:sz w:val="18"/>
      </w:rPr>
      <w:fldChar w:fldCharType="separate"/>
    </w:r>
    <w:r>
      <w:rPr>
        <w:sz w:val="18"/>
      </w:rPr>
      <w:t>11</w:t>
    </w:r>
    <w:r>
      <w:rPr>
        <w:sz w:val="18"/>
      </w:rPr>
      <w:fldChar w:fldCharType="end"/>
    </w:r>
    <w:r>
      <w:rPr>
        <w:sz w:val="18"/>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bottom w:val="single" w:sz="12" w:space="1" w:color="000000"/>
      </w:pBdr>
      <w:spacing w:before="0" w:after="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3"/>
      <w:numFmt w:val="upp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abstractNum w:abstractNumId="9">
    <w:lvl w:ilvl="0">
      <w:start w:val="1"/>
      <w:numFmt w:val="upperRoman"/>
      <w:lvlText w:val="%1."/>
      <w:lvlJc w:val="center"/>
      <w:pPr>
        <w:tabs>
          <w:tab w:val="num" w:pos="360"/>
        </w:tabs>
        <w:ind w:start="0" w:hanging="0"/>
      </w:pPr>
      <w:rPr>
        <w:caps/>
        <w:sz w:val="27"/>
        <w:i w:val="false"/>
        <w:b/>
        <w:rFonts w:ascii="CG Times" w:hAnsi="CG Times" w:cs="CG Times"/>
      </w:rPr>
    </w:lvl>
    <w:lvl w:ilvl="1">
      <w:start w:val="1"/>
      <w:numFmt w:val="upperLetter"/>
      <w:lvlText w:val="%2."/>
      <w:lvlJc w:val="start"/>
      <w:pPr>
        <w:tabs>
          <w:tab w:val="num" w:pos="1080"/>
        </w:tabs>
        <w:ind w:start="0" w:firstLine="720"/>
      </w:pPr>
      <w:rPr>
        <w:sz w:val="25"/>
        <w:i w:val="false"/>
        <w:b/>
        <w:rFonts w:ascii="CG Times" w:hAnsi="CG Times" w:cs="CG Times"/>
      </w:rPr>
    </w:lvl>
    <w:lvl w:ilvl="2">
      <w:start w:val="1"/>
      <w:numFmt w:val="decimal"/>
      <w:lvlText w:val="%3."/>
      <w:lvlJc w:val="start"/>
      <w:pPr>
        <w:tabs>
          <w:tab w:val="num" w:pos="1800"/>
        </w:tabs>
        <w:ind w:start="0" w:firstLine="1440"/>
      </w:pPr>
      <w:rPr>
        <w:sz w:val="25"/>
        <w:i w:val="false"/>
        <w:b/>
        <w:rFonts w:ascii="CG Times" w:hAnsi="CG Times" w:cs="CG Times"/>
      </w:rPr>
    </w:lvl>
    <w:lvl w:ilvl="3">
      <w:start w:val="1"/>
      <w:numFmt w:val="lowerLetter"/>
      <w:lvlText w:val="%4."/>
      <w:lvlJc w:val="start"/>
      <w:pPr>
        <w:tabs>
          <w:tab w:val="num" w:pos="2520"/>
        </w:tabs>
        <w:ind w:start="0" w:firstLine="2160"/>
      </w:pPr>
      <w:rPr>
        <w:sz w:val="25"/>
        <w:i w:val="false"/>
        <w:b/>
        <w:rFonts w:ascii="CG Times" w:hAnsi="CG Times" w:cs="CG Times"/>
      </w:rPr>
    </w:lvl>
    <w:lvl w:ilvl="4">
      <w:start w:val="1"/>
      <w:numFmt w:val="decimal"/>
      <w:lvlText w:val="(%5)"/>
      <w:lvlJc w:val="start"/>
      <w:pPr>
        <w:tabs>
          <w:tab w:val="num" w:pos="3240"/>
        </w:tabs>
        <w:ind w:start="0" w:firstLine="2880"/>
      </w:pPr>
      <w:rPr>
        <w:sz w:val="25"/>
        <w:i w:val="false"/>
        <w:b/>
        <w:rFonts w:ascii="CG Times" w:hAnsi="CG Times" w:cs="CG Times"/>
      </w:r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0"/>
      <w:numFmt w:val="lowerRoman"/>
      <w:lvlText w:val="(%9)"/>
      <w:lvlJc w:val="start"/>
      <w:pPr>
        <w:tabs>
          <w:tab w:val="num" w:pos="6120"/>
        </w:tabs>
        <w:ind w:start="576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0"/>
    </w:pPr>
    <w:rPr>
      <w:rFonts w:ascii="Bookman Old Style" w:hAnsi="Bookman Old Style" w:eastAsia="Times New Roman" w:cs="Bookman Old Style"/>
      <w:color w:val="auto"/>
      <w:sz w:val="20"/>
      <w:szCs w:val="20"/>
      <w:lang w:val="en-US" w:eastAsia="en-US" w:bidi="hi-IN"/>
    </w:rPr>
  </w:style>
  <w:style w:type="paragraph" w:styleId="Heading1">
    <w:name w:val="heading 1"/>
    <w:basedOn w:val="Normal"/>
    <w:next w:val="Normal"/>
    <w:qFormat/>
    <w:pPr>
      <w:keepNext w:val="true"/>
      <w:widowControl/>
      <w:numPr>
        <w:ilvl w:val="0"/>
        <w:numId w:val="1"/>
      </w:numPr>
      <w:outlineLvl w:val="0"/>
    </w:pPr>
    <w:rPr>
      <w:b/>
    </w:rPr>
  </w:style>
  <w:style w:type="paragraph" w:styleId="Heading2">
    <w:name w:val="heading 2"/>
    <w:basedOn w:val="Normal"/>
    <w:next w:val="Normal"/>
    <w:qFormat/>
    <w:pPr>
      <w:keepNext w:val="true"/>
      <w:widowControl/>
      <w:numPr>
        <w:ilvl w:val="1"/>
        <w:numId w:val="1"/>
      </w:numPr>
      <w:tabs>
        <w:tab w:val="left" w:pos="-720" w:leader="none"/>
        <w:tab w:val="left" w:pos="0" w:leader="none"/>
        <w:tab w:val="left" w:pos="720" w:leader="none"/>
      </w:tabs>
      <w:suppressAutoHyphens w:val="true"/>
      <w:spacing w:before="0" w:after="0"/>
      <w:ind w:hanging="1440" w:start="2880" w:end="0"/>
      <w:outlineLvl w:val="1"/>
    </w:pPr>
    <w:rPr>
      <w:rFonts w:ascii="Times New Roman" w:hAnsi="Times New Roman" w:cs="Times New Roman"/>
      <w:spacing w:val="-3"/>
      <w:sz w:val="24"/>
      <w:lang w:eastAsia="en-CA"/>
    </w:rPr>
  </w:style>
  <w:style w:type="paragraph" w:styleId="Heading3">
    <w:name w:val="heading 3"/>
    <w:basedOn w:val="Normal"/>
    <w:next w:val="Normal"/>
    <w:qFormat/>
    <w:pPr>
      <w:keepNext w:val="true"/>
      <w:numPr>
        <w:ilvl w:val="2"/>
        <w:numId w:val="1"/>
      </w:numPr>
      <w:jc w:val="center"/>
      <w:outlineLvl w:val="2"/>
    </w:pPr>
    <w:rPr>
      <w:b/>
      <w:u w:val="single"/>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ind w:firstLine="720" w:start="0" w:end="0"/>
      <w:jc w:val="center"/>
      <w:outlineLvl w:val="4"/>
    </w:pPr>
    <w:rPr>
      <w:rFonts w:ascii="Brush Script;Courier New" w:hAnsi="Brush Script;Courier New" w:cs="Brush Script;Courier New"/>
      <w:sz w:val="44"/>
    </w:rPr>
  </w:style>
  <w:style w:type="character" w:styleId="WW8Num1z0">
    <w:name w:val="WW8Num1z0"/>
    <w:qFormat/>
    <w:rPr>
      <w:rFonts w:ascii="CG Times" w:hAnsi="CG Times" w:cs="CG Times"/>
      <w:b/>
      <w:smallCaps/>
      <w:sz w:val="24"/>
    </w:rPr>
  </w:style>
  <w:style w:type="character" w:styleId="WW8Num1z1">
    <w:name w:val="WW8Num1z1"/>
    <w:qFormat/>
    <w:rPr>
      <w:rFonts w:ascii="CG Times" w:hAnsi="CG Times" w:cs="CG Times"/>
      <w:b/>
      <w:sz w:val="22"/>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color w:val="auto"/>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rPr>
  </w:style>
  <w:style w:type="character" w:styleId="WW8Num41z0">
    <w:name w:val="WW8Num41z0"/>
    <w:qFormat/>
    <w:rPr>
      <w:rFonts w:ascii="Symbol" w:hAnsi="Symbol" w:cs="Symbol"/>
      <w:color w:val="auto"/>
    </w:rPr>
  </w:style>
  <w:style w:type="character" w:styleId="WW8Num42z0">
    <w:name w:val="WW8Num42z0"/>
    <w:qFormat/>
    <w:rPr>
      <w:rFonts w:ascii="Symbol" w:hAnsi="Symbol" w:cs="Symbol"/>
      <w:color w:val="auto"/>
    </w:rPr>
  </w:style>
  <w:style w:type="character" w:styleId="WW8Num43z0">
    <w:name w:val="WW8Num43z0"/>
    <w:qFormat/>
    <w:rPr>
      <w:rFonts w:ascii="Symbol" w:hAnsi="Symbol" w:cs="Symbol"/>
      <w:color w:val="auto"/>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color w:val="auto"/>
    </w:rPr>
  </w:style>
  <w:style w:type="character" w:styleId="WW8Num48z0">
    <w:name w:val="WW8Num48z0"/>
    <w:qFormat/>
    <w:rPr>
      <w:rFonts w:ascii="Times New Roman" w:hAnsi="Times New Roman" w:cs="Times New Roman"/>
      <w:b/>
      <w:i w:val="false"/>
      <w:sz w:val="24"/>
      <w:u w:val="none"/>
    </w:rPr>
  </w:style>
  <w:style w:type="character" w:styleId="WW8Num49z0">
    <w:name w:val="WW8Num49z0"/>
    <w:qFormat/>
    <w:rPr>
      <w:rFonts w:ascii="Symbol" w:hAnsi="Symbol" w:cs="Symbol"/>
      <w:color w:val="auto"/>
    </w:rPr>
  </w:style>
  <w:style w:type="character" w:styleId="WW8Num50z0">
    <w:name w:val="WW8Num50z0"/>
    <w:qFormat/>
    <w:rPr>
      <w:rFonts w:ascii="Symbol" w:hAnsi="Symbol" w:cs="Symbol"/>
      <w:color w:val="auto"/>
    </w:rPr>
  </w:style>
  <w:style w:type="character" w:styleId="WW8Num51z0">
    <w:name w:val="WW8Num51z0"/>
    <w:qFormat/>
    <w:rPr>
      <w:rFonts w:ascii="Symbol" w:hAnsi="Symbol" w:cs="Symbol"/>
    </w:rPr>
  </w:style>
  <w:style w:type="character" w:styleId="WW8Num52z0">
    <w:name w:val="WW8Num52z0"/>
    <w:qFormat/>
    <w:rPr>
      <w:rFonts w:ascii="Symbol" w:hAnsi="Symbol" w:cs="Symbol"/>
      <w:color w:val="auto"/>
    </w:rPr>
  </w:style>
  <w:style w:type="character" w:styleId="WW8Num53z0">
    <w:name w:val="WW8Num53z0"/>
    <w:qFormat/>
    <w:rPr>
      <w:rFonts w:ascii="Symbol" w:hAnsi="Symbol" w:cs="Symbol"/>
      <w:color w:val="auto"/>
    </w:rPr>
  </w:style>
  <w:style w:type="character" w:styleId="WW8Num54z0">
    <w:name w:val="WW8Num54z0"/>
    <w:qFormat/>
    <w:rPr>
      <w:rFonts w:ascii="Symbol" w:hAnsi="Symbol" w:cs="Symbol"/>
      <w:color w:val="auto"/>
    </w:rPr>
  </w:style>
  <w:style w:type="character" w:styleId="WW8Num55z0">
    <w:name w:val="WW8Num55z0"/>
    <w:qFormat/>
    <w:rPr>
      <w:rFonts w:ascii="Wingdings" w:hAnsi="Wingdings" w:cs="Wingdings"/>
    </w:rPr>
  </w:style>
  <w:style w:type="character" w:styleId="WW8NumSt46z0">
    <w:name w:val="WW8NumSt46z0"/>
    <w:qFormat/>
    <w:rPr>
      <w:rFonts w:ascii="CG Times" w:hAnsi="CG Times" w:cs="CG Times"/>
      <w:b/>
      <w:i w:val="false"/>
      <w:caps/>
      <w:sz w:val="27"/>
    </w:rPr>
  </w:style>
  <w:style w:type="character" w:styleId="WW8NumSt46z1">
    <w:name w:val="WW8NumSt46z1"/>
    <w:qFormat/>
    <w:rPr>
      <w:rFonts w:ascii="CG Times" w:hAnsi="CG Times" w:cs="CG Times"/>
      <w:b/>
      <w:i w:val="false"/>
      <w:sz w:val="25"/>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before="0" w:after="0"/>
      <w:jc w:val="center"/>
    </w:pPr>
    <w:rPr>
      <w:rFonts w:ascii="Arial" w:hAnsi="Arial" w:cs="Arial"/>
      <w:b/>
      <w:sz w:val="24"/>
    </w:rPr>
  </w:style>
  <w:style w:type="paragraph" w:styleId="BodyText">
    <w:name w:val="Body Text"/>
    <w:basedOn w:val="Normal"/>
    <w:pPr>
      <w:widowControl/>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rFonts w:ascii="Arial" w:hAnsi="Arial" w:cs="Arial"/>
    </w:rPr>
  </w:style>
  <w:style w:type="paragraph" w:styleId="BodyTextIndent2">
    <w:name w:val="Body Text Indent 2"/>
    <w:basedOn w:val="Normal"/>
    <w:qFormat/>
    <w:pPr>
      <w:ind w:hanging="0" w:start="1440" w:end="0"/>
      <w:jc w:val="both"/>
    </w:pPr>
    <w:rPr>
      <w:rFonts w:ascii="Arial" w:hAnsi="Arial" w:cs="Arial"/>
    </w:rPr>
  </w:style>
  <w:style w:type="paragraph" w:styleId="BodyTextIndent3">
    <w:name w:val="Body Text Indent 3"/>
    <w:basedOn w:val="Normal"/>
    <w:qFormat/>
    <w:pPr>
      <w:widowControl/>
      <w:ind w:hanging="1440" w:start="1440" w:end="0"/>
    </w:pPr>
    <w:rPr>
      <w:rFonts w:ascii="Arial" w:hAnsi="Arial" w:cs="Arial"/>
    </w:rPr>
  </w:style>
  <w:style w:type="paragraph" w:styleId="TableFormat">
    <w:name w:val="Table Forma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898" w:leader="none"/>
        <w:tab w:val="left" w:pos="8628" w:leader="none"/>
      </w:tabs>
      <w:bidi w:val="0"/>
      <w:spacing w:lineRule="atLeast" w:line="240" w:before="120" w:after="0"/>
    </w:pPr>
    <w:rPr>
      <w:rFonts w:ascii="Bookman Old Style" w:hAnsi="Bookman Old Style" w:eastAsia="Times New Roman" w:cs="Bookman Old Style"/>
      <w:color w:val="000000"/>
      <w:sz w:val="18"/>
      <w:szCs w:val="20"/>
      <w:lang w:val="en-US" w:eastAsia="en-US" w:bidi="hi-IN"/>
    </w:rPr>
  </w:style>
  <w:style w:type="paragraph" w:styleId="BodySingle">
    <w:name w:val="Body Single"/>
    <w:qFormat/>
    <w:pPr>
      <w:widowControl w:val="false"/>
      <w:bidi w:val="0"/>
      <w:spacing w:before="72" w:after="0"/>
      <w:jc w:val="both"/>
    </w:pPr>
    <w:rPr>
      <w:rFonts w:ascii="Helvetica" w:hAnsi="Helvetica" w:eastAsia="Times New Roman" w:cs="Helvetica"/>
      <w:color w:val="000000"/>
      <w:sz w:val="20"/>
      <w:szCs w:val="20"/>
      <w:lang w:val="en-US" w:eastAsia="en-US" w:bidi="hi-IN"/>
    </w:rPr>
  </w:style>
  <w:style w:type="paragraph" w:styleId="FootnoteText">
    <w:name w:val="footnote text"/>
    <w:basedOn w:val="Normal"/>
    <w:pPr/>
    <w:rPr/>
  </w:style>
  <w:style w:type="paragraph" w:styleId="TableText">
    <w:name w:val="Table Text"/>
    <w:qFormat/>
    <w:pPr>
      <w:widowControl/>
      <w:bidi w:val="0"/>
    </w:pPr>
    <w:rPr>
      <w:rFonts w:ascii="Arial Narrow" w:hAnsi="Arial Narrow" w:eastAsia="Times New Roman" w:cs="Arial Narrow"/>
      <w:color w:val="000000"/>
      <w:sz w:val="24"/>
      <w:szCs w:val="20"/>
      <w:lang w:val="en-US" w:eastAsia="en-US" w:bidi="hi-IN"/>
    </w:rPr>
  </w:style>
  <w:style w:type="paragraph" w:styleId="MWhang3">
    <w:name w:val="MWhang3"/>
    <w:basedOn w:val="Normal"/>
    <w:qFormat/>
    <w:pPr>
      <w:widowControl/>
      <w:suppressAutoHyphens w:val="true"/>
      <w:spacing w:before="0" w:after="240"/>
      <w:ind w:hanging="720" w:start="2160" w:end="0"/>
    </w:pPr>
    <w:rPr>
      <w:rFonts w:ascii="Times New Roman" w:hAnsi="Times New Roman" w:cs="Times New Roman"/>
      <w:sz w:val="24"/>
      <w:lang w:eastAsia="en-CA"/>
    </w:rPr>
  </w:style>
  <w:style w:type="paragraph" w:styleId="MWNum13j">
    <w:name w:val="MWNum13j"/>
    <w:basedOn w:val="Normal"/>
    <w:qFormat/>
    <w:pPr>
      <w:widowControl/>
      <w:numPr>
        <w:ilvl w:val="0"/>
        <w:numId w:val="5"/>
      </w:numPr>
      <w:tabs>
        <w:tab w:val="clear" w:pos="720"/>
      </w:tabs>
      <w:spacing w:before="0" w:after="240"/>
      <w:jc w:val="both"/>
    </w:pPr>
    <w:rPr>
      <w:rFonts w:ascii="Times New Roman" w:hAnsi="Times New Roman" w:cs="Times New Roman"/>
      <w:sz w:val="24"/>
      <w:lang w:eastAsia="en-CA"/>
    </w:rPr>
  </w:style>
  <w:style w:type="paragraph" w:styleId="PlainText">
    <w:name w:val="Plain Text"/>
    <w:basedOn w:val="Normal"/>
    <w:qFormat/>
    <w:pPr>
      <w:widowControl/>
      <w:spacing w:before="0" w:after="0"/>
    </w:pPr>
    <w:rPr>
      <w:rFonts w:ascii="Courier New" w:hAnsi="Courier New" w:cs="Courier New"/>
      <w:lang w:eastAsia="en-CA"/>
    </w:rPr>
  </w:style>
  <w:style w:type="paragraph" w:styleId="Level2">
    <w:name w:val="Level 2"/>
    <w:basedOn w:val="Normal"/>
    <w:qFormat/>
    <w:pPr>
      <w:widowControl/>
      <w:numPr>
        <w:ilvl w:val="0"/>
        <w:numId w:val="3"/>
      </w:numPr>
      <w:tabs>
        <w:tab w:val="clear" w:pos="720"/>
        <w:tab w:val="left" w:pos="360" w:leader="none"/>
      </w:tabs>
      <w:spacing w:before="0" w:after="0"/>
      <w:ind w:hanging="0" w:start="0" w:end="0"/>
      <w:outlineLvl w:val="1"/>
    </w:pPr>
    <w:rPr>
      <w:rFonts w:ascii="Times New Roman" w:hAnsi="Times New Roman" w:cs="Times New Roman"/>
      <w:sz w:val="24"/>
      <w:lang w:eastAsia="en-CA"/>
    </w:rPr>
  </w:style>
  <w:style w:type="paragraph" w:styleId="Level3">
    <w:name w:val="Level 3"/>
    <w:basedOn w:val="Normal"/>
    <w:qFormat/>
    <w:pPr>
      <w:widowControl/>
      <w:numPr>
        <w:ilvl w:val="0"/>
        <w:numId w:val="3"/>
      </w:numPr>
      <w:tabs>
        <w:tab w:val="clear" w:pos="720"/>
        <w:tab w:val="left" w:pos="360" w:leader="none"/>
      </w:tabs>
      <w:spacing w:before="0" w:after="0"/>
      <w:ind w:hanging="0" w:start="0" w:end="0"/>
      <w:outlineLvl w:val="2"/>
    </w:pPr>
    <w:rPr>
      <w:rFonts w:ascii="Times New Roman" w:hAnsi="Times New Roman" w:cs="Times New Roman"/>
      <w:sz w:val="24"/>
      <w:lang w:eastAsia="en-CA"/>
    </w:rPr>
  </w:style>
  <w:style w:type="paragraph" w:styleId="MWbl">
    <w:name w:val="MWbl"/>
    <w:basedOn w:val="Normal"/>
    <w:qFormat/>
    <w:pPr>
      <w:widowControl/>
      <w:suppressAutoHyphens w:val="true"/>
      <w:spacing w:before="0" w:after="240"/>
    </w:pPr>
    <w:rPr>
      <w:rFonts w:ascii="Times New Roman" w:hAnsi="Times New Roman" w:cs="Times New Roman"/>
      <w:sz w:val="24"/>
      <w:lang w:eastAsia="en-CA"/>
    </w:rPr>
  </w:style>
  <w:style w:type="paragraph" w:styleId="MWhang2">
    <w:name w:val="MWhang2"/>
    <w:basedOn w:val="Normal"/>
    <w:qFormat/>
    <w:pPr>
      <w:widowControl/>
      <w:suppressAutoHyphens w:val="true"/>
      <w:spacing w:before="0" w:after="240"/>
      <w:ind w:hanging="720" w:start="1440" w:end="0"/>
    </w:pPr>
    <w:rPr>
      <w:rFonts w:ascii="Times New Roman" w:hAnsi="Times New Roman" w:cs="Times New Roman"/>
      <w:sz w:val="24"/>
      <w:lang w:eastAsia="en-CA"/>
    </w:rPr>
  </w:style>
  <w:style w:type="paragraph" w:styleId="MWlri1d">
    <w:name w:val="MWlri1d"/>
    <w:basedOn w:val="Normal"/>
    <w:qFormat/>
    <w:pPr>
      <w:widowControl/>
      <w:suppressAutoHyphens w:val="true"/>
      <w:spacing w:lineRule="auto" w:line="480" w:before="0" w:after="0"/>
      <w:ind w:hanging="0" w:start="1440" w:end="1440"/>
    </w:pPr>
    <w:rPr>
      <w:rFonts w:ascii="Times New Roman" w:hAnsi="Times New Roman" w:cs="Times New Roman"/>
      <w:sz w:val="24"/>
      <w:lang w:eastAsia="en-CA"/>
    </w:rPr>
  </w:style>
  <w:style w:type="paragraph" w:styleId="MWtypist">
    <w:name w:val="MWtypist"/>
    <w:basedOn w:val="Normal"/>
    <w:qFormat/>
    <w:pPr>
      <w:widowControl/>
      <w:spacing w:before="0" w:after="0"/>
    </w:pPr>
    <w:rPr>
      <w:rFonts w:ascii="Times New Roman" w:hAnsi="Times New Roman" w:cs="Times New Roman"/>
      <w:sz w:val="24"/>
      <w:lang w:eastAsia="en-CA"/>
    </w:rPr>
  </w:style>
  <w:style w:type="paragraph" w:styleId="Title2">
    <w:name w:val="Title2"/>
    <w:basedOn w:val="Normal"/>
    <w:qFormat/>
    <w:pPr>
      <w:spacing w:before="0" w:after="0"/>
      <w:ind w:hanging="0" w:start="0" w:end="-25"/>
    </w:pPr>
    <w:rPr>
      <w:rFonts w:ascii="Times New Roman" w:hAnsi="Times New Roman" w:cs="Times New Roman"/>
      <w:b/>
      <w:lang w:eastAsia="en-CA"/>
    </w:rPr>
  </w:style>
  <w:style w:type="paragraph" w:styleId="Level4">
    <w:name w:val="Level 4"/>
    <w:basedOn w:val="Normal"/>
    <w:qFormat/>
    <w:pPr>
      <w:tabs>
        <w:tab w:val="clear" w:pos="720"/>
        <w:tab w:val="left" w:pos="2520" w:leader="none"/>
      </w:tabs>
      <w:spacing w:before="0" w:after="0"/>
      <w:ind w:firstLine="2160" w:start="0" w:end="0"/>
      <w:outlineLvl w:val="3"/>
    </w:pPr>
    <w:rPr>
      <w:rFonts w:ascii="CG Times" w:hAnsi="CG Times" w:cs="CG Times"/>
      <w:sz w:val="24"/>
    </w:rPr>
  </w:style>
  <w:style w:type="paragraph" w:styleId="Level1">
    <w:name w:val="Level 1"/>
    <w:basedOn w:val="Normal"/>
    <w:qFormat/>
    <w:pPr>
      <w:numPr>
        <w:ilvl w:val="0"/>
        <w:numId w:val="9"/>
      </w:numPr>
      <w:tabs>
        <w:tab w:val="clear" w:pos="720"/>
      </w:tabs>
      <w:spacing w:before="0" w:after="0"/>
      <w:ind w:hanging="720" w:start="720" w:end="0"/>
      <w:outlineLvl w:val="0"/>
    </w:pPr>
    <w:rPr>
      <w:rFonts w:ascii="CG Times" w:hAnsi="CG Times" w:cs="CG Times"/>
      <w:sz w:val="24"/>
    </w:rPr>
  </w:style>
  <w:style w:type="paragraph" w:styleId="Level5">
    <w:name w:val="Level 5"/>
    <w:basedOn w:val="Normal"/>
    <w:qFormat/>
    <w:pPr>
      <w:spacing w:before="0" w:after="0"/>
      <w:outlineLvl w:val="4"/>
    </w:pPr>
    <w:rPr>
      <w:rFonts w:ascii="CG Times" w:hAnsi="CG Times" w:cs="CG Time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2000-07-29T13:34:00Z</dcterms:created>
  <dc:creator>Koch Ind</dc:creator>
  <dc:description/>
  <dc:language>en-CA</dc:language>
  <cp:lastModifiedBy>Greg</cp:lastModifiedBy>
  <cp:lastPrinted>2000-07-30T12:19:00Z</cp:lastPrinted>
  <dcterms:modified xsi:type="dcterms:W3CDTF">2000-07-30T15:02:00Z</dcterms:modified>
  <cp:revision>6</cp:revision>
  <dc:subject/>
  <dc:title>Business Practices Subcommittee</dc:title>
</cp:coreProperties>
</file>