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GOALS AND OBJECTIVES FOR REGULATORY/GOV’T AFFAIRS</w:t>
      </w:r>
    </w:p>
    <w:p>
      <w:pPr>
        <w:pStyle w:val="Normal"/>
        <w:jc w:val="center"/>
        <w:rPr>
          <w:b/>
          <w:sz w:val="24"/>
        </w:rPr>
      </w:pPr>
      <w:r>
        <w:rPr>
          <w:b/>
          <w:sz w:val="24"/>
        </w:rPr>
        <w:t>INDIA  2000</w:t>
      </w:r>
    </w:p>
    <w:p>
      <w:pPr>
        <w:pStyle w:val="Normal"/>
        <w:jc w:val="center"/>
        <w:rPr>
          <w:b/>
          <w:sz w:val="24"/>
        </w:rPr>
      </w:pPr>
      <w:r>
        <w:rPr>
          <w:b/>
          <w:sz w:val="24"/>
        </w:rPr>
      </w:r>
    </w:p>
    <w:p>
      <w:pPr>
        <w:pStyle w:val="Normal"/>
        <w:jc w:val="center"/>
        <w:rPr>
          <w:b/>
          <w:sz w:val="24"/>
        </w:rPr>
      </w:pPr>
      <w:r>
        <w:rPr>
          <w:b/>
          <w:sz w:val="24"/>
        </w:rPr>
      </w:r>
    </w:p>
    <w:p>
      <w:pPr>
        <w:pStyle w:val="Heading1"/>
        <w:ind w:hanging="0" w:start="0"/>
        <w:rPr/>
      </w:pPr>
      <w:r>
        <w:rPr/>
        <w:t>General</w:t>
      </w:r>
    </w:p>
    <w:p>
      <w:pPr>
        <w:pStyle w:val="Normal"/>
        <w:rPr/>
      </w:pPr>
      <w:r>
        <w:rPr/>
      </w:r>
    </w:p>
    <w:p>
      <w:pPr>
        <w:pStyle w:val="BodyText"/>
        <w:numPr>
          <w:ilvl w:val="0"/>
          <w:numId w:val="8"/>
        </w:numPr>
        <w:rPr/>
      </w:pPr>
      <w:r>
        <w:rPr/>
        <w:t>Create overarching cross-India, cross-sector list of regulatory to-do’s along with suggested time line for their accomplishment.</w:t>
      </w:r>
    </w:p>
    <w:p>
      <w:pPr>
        <w:pStyle w:val="Normal"/>
        <w:numPr>
          <w:ilvl w:val="0"/>
          <w:numId w:val="8"/>
        </w:numPr>
        <w:rPr>
          <w:sz w:val="24"/>
        </w:rPr>
      </w:pPr>
      <w:r>
        <w:rPr>
          <w:sz w:val="24"/>
        </w:rPr>
        <w:t>Reach agreement with India region executives as to Regulatory/Government Affairs organization, reporting structure and slots, including matrix interface with Indian regions.</w:t>
      </w:r>
    </w:p>
    <w:p>
      <w:pPr>
        <w:pStyle w:val="Normal"/>
        <w:numPr>
          <w:ilvl w:val="0"/>
          <w:numId w:val="8"/>
        </w:numPr>
        <w:rPr>
          <w:sz w:val="24"/>
        </w:rPr>
      </w:pPr>
      <w:r>
        <w:rPr>
          <w:sz w:val="24"/>
        </w:rPr>
        <w:t>Ensure that communication/reporting lines to Houston are clear and function well.</w:t>
      </w:r>
    </w:p>
    <w:p>
      <w:pPr>
        <w:pStyle w:val="Heading1"/>
        <w:ind w:hanging="0" w:start="0"/>
        <w:rPr>
          <w:sz w:val="24"/>
        </w:rPr>
      </w:pPr>
      <w:r>
        <w:rPr>
          <w:sz w:val="24"/>
        </w:rPr>
      </w:r>
    </w:p>
    <w:p>
      <w:pPr>
        <w:pStyle w:val="Heading1"/>
        <w:ind w:hanging="0" w:start="0"/>
        <w:rPr/>
      </w:pPr>
      <w:r>
        <w:rPr/>
        <w:t xml:space="preserve">Power </w:t>
      </w:r>
    </w:p>
    <w:p>
      <w:pPr>
        <w:pStyle w:val="Normal"/>
        <w:rPr/>
      </w:pPr>
      <w:r>
        <w:rPr/>
      </w:r>
    </w:p>
    <w:p>
      <w:pPr>
        <w:pStyle w:val="Normal"/>
        <w:numPr>
          <w:ilvl w:val="0"/>
          <w:numId w:val="7"/>
        </w:numPr>
        <w:rPr>
          <w:sz w:val="24"/>
        </w:rPr>
      </w:pPr>
      <w:r>
        <w:rPr>
          <w:sz w:val="24"/>
        </w:rPr>
        <w:t>Perform Regulatory Assessments -- Center</w:t>
      </w:r>
    </w:p>
    <w:p>
      <w:pPr>
        <w:pStyle w:val="Normal"/>
        <w:numPr>
          <w:ilvl w:val="0"/>
          <w:numId w:val="5"/>
        </w:numPr>
        <w:rPr>
          <w:sz w:val="24"/>
        </w:rPr>
      </w:pPr>
      <w:r>
        <w:rPr>
          <w:sz w:val="24"/>
        </w:rPr>
        <w:t>All entities in the current regulatory/government system and their interaction with each other.</w:t>
      </w:r>
    </w:p>
    <w:p>
      <w:pPr>
        <w:pStyle w:val="Normal"/>
        <w:numPr>
          <w:ilvl w:val="0"/>
          <w:numId w:val="5"/>
        </w:numPr>
        <w:rPr>
          <w:sz w:val="24"/>
        </w:rPr>
      </w:pPr>
      <w:r>
        <w:rPr>
          <w:sz w:val="24"/>
        </w:rPr>
        <w:t>Grid Code</w:t>
      </w:r>
    </w:p>
    <w:p>
      <w:pPr>
        <w:pStyle w:val="Normal"/>
        <w:numPr>
          <w:ilvl w:val="0"/>
          <w:numId w:val="5"/>
        </w:numPr>
        <w:rPr>
          <w:sz w:val="24"/>
        </w:rPr>
      </w:pPr>
      <w:r>
        <w:rPr>
          <w:sz w:val="24"/>
        </w:rPr>
        <w:t>All legislation that pertains to regulation and regulatory commission</w:t>
      </w:r>
    </w:p>
    <w:p>
      <w:pPr>
        <w:pStyle w:val="Normal"/>
        <w:numPr>
          <w:ilvl w:val="0"/>
          <w:numId w:val="5"/>
        </w:numPr>
        <w:rPr>
          <w:sz w:val="24"/>
        </w:rPr>
      </w:pPr>
      <w:r>
        <w:rPr>
          <w:sz w:val="24"/>
        </w:rPr>
        <w:t>CERC Bulk tariff consultation paper and response</w:t>
      </w:r>
    </w:p>
    <w:p>
      <w:pPr>
        <w:pStyle w:val="Normal"/>
        <w:numPr>
          <w:ilvl w:val="0"/>
          <w:numId w:val="5"/>
        </w:numPr>
        <w:rPr>
          <w:sz w:val="24"/>
        </w:rPr>
      </w:pPr>
      <w:r>
        <w:rPr>
          <w:sz w:val="24"/>
        </w:rPr>
        <w:t>Estimated timelines as to development of competitive markets</w:t>
      </w:r>
    </w:p>
    <w:p>
      <w:pPr>
        <w:pStyle w:val="Normal"/>
        <w:numPr>
          <w:ilvl w:val="0"/>
          <w:numId w:val="7"/>
        </w:numPr>
        <w:rPr>
          <w:sz w:val="24"/>
        </w:rPr>
      </w:pPr>
      <w:r>
        <w:rPr>
          <w:sz w:val="24"/>
        </w:rPr>
        <w:t>Create database</w:t>
      </w:r>
    </w:p>
    <w:p>
      <w:pPr>
        <w:pStyle w:val="Normal"/>
        <w:numPr>
          <w:ilvl w:val="0"/>
          <w:numId w:val="6"/>
        </w:numPr>
        <w:rPr>
          <w:sz w:val="24"/>
        </w:rPr>
      </w:pPr>
      <w:r>
        <w:rPr>
          <w:sz w:val="24"/>
        </w:rPr>
        <w:t>Electronic file room of all regulatory/legal documents; regulatory assessments; reports, etc.</w:t>
      </w:r>
    </w:p>
    <w:p>
      <w:pPr>
        <w:pStyle w:val="Normal"/>
        <w:numPr>
          <w:ilvl w:val="0"/>
          <w:numId w:val="6"/>
        </w:numPr>
        <w:rPr>
          <w:sz w:val="24"/>
        </w:rPr>
      </w:pPr>
      <w:r>
        <w:rPr>
          <w:sz w:val="24"/>
        </w:rPr>
        <w:t>Work with IT India to determine best interface</w:t>
      </w:r>
    </w:p>
    <w:p>
      <w:pPr>
        <w:pStyle w:val="Normal"/>
        <w:numPr>
          <w:ilvl w:val="0"/>
          <w:numId w:val="7"/>
        </w:numPr>
        <w:rPr>
          <w:sz w:val="24"/>
        </w:rPr>
      </w:pPr>
      <w:r>
        <w:rPr>
          <w:sz w:val="24"/>
        </w:rPr>
        <w:t xml:space="preserve">Mega-project </w:t>
      </w:r>
    </w:p>
    <w:p>
      <w:pPr>
        <w:pStyle w:val="Normal"/>
        <w:numPr>
          <w:ilvl w:val="0"/>
          <w:numId w:val="3"/>
        </w:numPr>
        <w:rPr>
          <w:sz w:val="24"/>
        </w:rPr>
      </w:pPr>
      <w:r>
        <w:rPr>
          <w:sz w:val="24"/>
        </w:rPr>
        <w:t>Convene strategy team to reach consensus implications of broad-based campaign for obtaining mega-project status.</w:t>
      </w:r>
    </w:p>
    <w:p>
      <w:pPr>
        <w:pStyle w:val="Normal"/>
        <w:numPr>
          <w:ilvl w:val="0"/>
          <w:numId w:val="3"/>
        </w:numPr>
        <w:rPr>
          <w:sz w:val="24"/>
        </w:rPr>
      </w:pPr>
      <w:r>
        <w:rPr>
          <w:sz w:val="24"/>
        </w:rPr>
        <w:t>Assist orchestration of lobby efforts to obtain same</w:t>
      </w:r>
    </w:p>
    <w:p>
      <w:pPr>
        <w:pStyle w:val="Normal"/>
        <w:numPr>
          <w:ilvl w:val="0"/>
          <w:numId w:val="3"/>
        </w:numPr>
        <w:rPr>
          <w:sz w:val="24"/>
        </w:rPr>
      </w:pPr>
      <w:r>
        <w:rPr>
          <w:sz w:val="24"/>
        </w:rPr>
        <w:t>Determine Plan B to encourage wheeling/interstate sales of Dabhol power if this effort unsuccessful.</w:t>
      </w:r>
    </w:p>
    <w:p>
      <w:pPr>
        <w:pStyle w:val="Normal"/>
        <w:numPr>
          <w:ilvl w:val="0"/>
          <w:numId w:val="7"/>
        </w:numPr>
        <w:rPr>
          <w:sz w:val="24"/>
        </w:rPr>
      </w:pPr>
      <w:r>
        <w:rPr>
          <w:sz w:val="24"/>
        </w:rPr>
        <w:t xml:space="preserve">Dabhol tariff </w:t>
      </w:r>
    </w:p>
    <w:p>
      <w:pPr>
        <w:pStyle w:val="Normal"/>
        <w:numPr>
          <w:ilvl w:val="0"/>
          <w:numId w:val="2"/>
        </w:numPr>
        <w:rPr>
          <w:sz w:val="24"/>
        </w:rPr>
      </w:pPr>
      <w:r>
        <w:rPr>
          <w:sz w:val="24"/>
        </w:rPr>
        <w:t>Create easy-to-understand, accurate explanation of tariff for press in conjunction with commercial team</w:t>
      </w:r>
    </w:p>
    <w:p>
      <w:pPr>
        <w:pStyle w:val="Normal"/>
        <w:numPr>
          <w:ilvl w:val="0"/>
          <w:numId w:val="2"/>
        </w:numPr>
        <w:rPr>
          <w:sz w:val="24"/>
        </w:rPr>
      </w:pPr>
      <w:r>
        <w:rPr>
          <w:sz w:val="24"/>
        </w:rPr>
        <w:t>Convene strategy team to reach consensus on how to publicly respond to tariff attacks</w:t>
      </w:r>
    </w:p>
    <w:p>
      <w:pPr>
        <w:pStyle w:val="Normal"/>
        <w:numPr>
          <w:ilvl w:val="0"/>
          <w:numId w:val="2"/>
        </w:numPr>
        <w:rPr>
          <w:sz w:val="24"/>
        </w:rPr>
      </w:pPr>
      <w:r>
        <w:rPr>
          <w:sz w:val="24"/>
        </w:rPr>
        <w:t>Assist with ongoing defense of attacks on tariff</w:t>
      </w:r>
    </w:p>
    <w:p>
      <w:pPr>
        <w:pStyle w:val="Normal"/>
        <w:numPr>
          <w:ilvl w:val="0"/>
          <w:numId w:val="7"/>
        </w:numPr>
        <w:rPr>
          <w:sz w:val="24"/>
        </w:rPr>
      </w:pPr>
      <w:r>
        <w:rPr>
          <w:sz w:val="24"/>
        </w:rPr>
        <w:t>MSEB rate case</w:t>
      </w:r>
    </w:p>
    <w:p>
      <w:pPr>
        <w:pStyle w:val="Normal"/>
        <w:numPr>
          <w:ilvl w:val="0"/>
          <w:numId w:val="4"/>
        </w:numPr>
        <w:rPr>
          <w:sz w:val="24"/>
        </w:rPr>
      </w:pPr>
      <w:r>
        <w:rPr>
          <w:sz w:val="24"/>
        </w:rPr>
        <w:t>Obtain rate filing</w:t>
      </w:r>
    </w:p>
    <w:p>
      <w:pPr>
        <w:pStyle w:val="Normal"/>
        <w:numPr>
          <w:ilvl w:val="0"/>
          <w:numId w:val="4"/>
        </w:numPr>
        <w:rPr>
          <w:sz w:val="24"/>
        </w:rPr>
      </w:pPr>
      <w:r>
        <w:rPr>
          <w:sz w:val="24"/>
        </w:rPr>
        <w:t>Determine data requested from MSEB from ICRA</w:t>
      </w:r>
    </w:p>
    <w:p>
      <w:pPr>
        <w:pStyle w:val="Normal"/>
        <w:numPr>
          <w:ilvl w:val="0"/>
          <w:numId w:val="4"/>
        </w:numPr>
        <w:rPr>
          <w:sz w:val="24"/>
        </w:rPr>
      </w:pPr>
      <w:r>
        <w:rPr>
          <w:sz w:val="24"/>
        </w:rPr>
        <w:t>Follow public hearings</w:t>
      </w:r>
    </w:p>
    <w:p>
      <w:pPr>
        <w:pStyle w:val="Normal"/>
        <w:numPr>
          <w:ilvl w:val="0"/>
          <w:numId w:val="4"/>
        </w:numPr>
        <w:rPr>
          <w:sz w:val="24"/>
        </w:rPr>
      </w:pPr>
      <w:r>
        <w:rPr>
          <w:sz w:val="24"/>
        </w:rPr>
        <w:t>Convey complete Canadian performance based rate materials to MERC</w:t>
      </w:r>
    </w:p>
    <w:p>
      <w:pPr>
        <w:pStyle w:val="Normal"/>
        <w:numPr>
          <w:ilvl w:val="0"/>
          <w:numId w:val="7"/>
        </w:numPr>
        <w:rPr>
          <w:sz w:val="24"/>
        </w:rPr>
      </w:pPr>
      <w:r>
        <w:rPr>
          <w:sz w:val="24"/>
        </w:rPr>
        <w:t>Restructuring Center</w:t>
      </w:r>
    </w:p>
    <w:p>
      <w:pPr>
        <w:pStyle w:val="Normal"/>
        <w:numPr>
          <w:ilvl w:val="0"/>
          <w:numId w:val="13"/>
        </w:numPr>
        <w:rPr>
          <w:sz w:val="24"/>
        </w:rPr>
      </w:pPr>
      <w:r>
        <w:rPr>
          <w:sz w:val="24"/>
        </w:rPr>
        <w:t>Participate in CERC-imposed/prescribed restructuring proceeding as requested.</w:t>
      </w:r>
    </w:p>
    <w:p>
      <w:pPr>
        <w:pStyle w:val="Normal"/>
        <w:numPr>
          <w:ilvl w:val="0"/>
          <w:numId w:val="13"/>
        </w:numPr>
        <w:rPr>
          <w:sz w:val="24"/>
        </w:rPr>
      </w:pPr>
      <w:r>
        <w:rPr>
          <w:sz w:val="24"/>
        </w:rPr>
        <w:t>Create consortia to promote restructuring.  E.g., encourage industrial trade organizations and industrials themselves to organize to promote restructuring.</w:t>
      </w:r>
    </w:p>
    <w:p>
      <w:pPr>
        <w:pStyle w:val="Normal"/>
        <w:numPr>
          <w:ilvl w:val="0"/>
          <w:numId w:val="13"/>
        </w:numPr>
        <w:rPr>
          <w:sz w:val="24"/>
        </w:rPr>
      </w:pPr>
      <w:r>
        <w:rPr>
          <w:sz w:val="24"/>
        </w:rPr>
        <w:t>Prepare white papers, notes and comments as needed to reflect Enron regulatory positions and recommendations.</w:t>
      </w:r>
    </w:p>
    <w:p>
      <w:pPr>
        <w:pStyle w:val="Normal"/>
        <w:numPr>
          <w:ilvl w:val="0"/>
          <w:numId w:val="13"/>
        </w:numPr>
        <w:rPr>
          <w:sz w:val="24"/>
        </w:rPr>
      </w:pPr>
      <w:r>
        <w:rPr>
          <w:sz w:val="24"/>
        </w:rPr>
        <w:t xml:space="preserve">Anticipate environment needed for marketing/trading within a pool and advocate for Enron pool positions.  </w:t>
      </w:r>
    </w:p>
    <w:p>
      <w:pPr>
        <w:pStyle w:val="Normal"/>
        <w:numPr>
          <w:ilvl w:val="0"/>
          <w:numId w:val="7"/>
        </w:numPr>
        <w:rPr>
          <w:sz w:val="24"/>
        </w:rPr>
      </w:pPr>
      <w:r>
        <w:rPr>
          <w:sz w:val="24"/>
        </w:rPr>
        <w:t>Restructuring States</w:t>
      </w:r>
    </w:p>
    <w:p>
      <w:pPr>
        <w:pStyle w:val="Normal"/>
        <w:numPr>
          <w:ilvl w:val="0"/>
          <w:numId w:val="12"/>
        </w:numPr>
        <w:rPr>
          <w:sz w:val="24"/>
        </w:rPr>
      </w:pPr>
      <w:r>
        <w:rPr>
          <w:sz w:val="24"/>
        </w:rPr>
        <w:t xml:space="preserve">Monitor </w:t>
      </w:r>
      <w:r>
        <w:rPr>
          <w:i/>
          <w:sz w:val="24"/>
        </w:rPr>
        <w:t>all</w:t>
      </w:r>
      <w:r>
        <w:rPr>
          <w:sz w:val="24"/>
        </w:rPr>
        <w:t xml:space="preserve"> state restructuring, including jurisdiction devolved on regulatory commissions and tariff and operations management, beginning with the four critical states.</w:t>
      </w:r>
    </w:p>
    <w:p>
      <w:pPr>
        <w:pStyle w:val="Normal"/>
        <w:numPr>
          <w:ilvl w:val="0"/>
          <w:numId w:val="12"/>
        </w:numPr>
        <w:rPr>
          <w:sz w:val="24"/>
        </w:rPr>
      </w:pPr>
      <w:r>
        <w:rPr>
          <w:sz w:val="24"/>
        </w:rPr>
        <w:t>Create relationships with all critical state regulatory commissions and support them as requested.</w:t>
      </w:r>
    </w:p>
    <w:p>
      <w:pPr>
        <w:pStyle w:val="Normal"/>
        <w:numPr>
          <w:ilvl w:val="0"/>
          <w:numId w:val="12"/>
        </w:numPr>
        <w:rPr>
          <w:sz w:val="24"/>
        </w:rPr>
      </w:pPr>
      <w:r>
        <w:rPr>
          <w:sz w:val="24"/>
        </w:rPr>
        <w:t>Prepare white papers, notes and papers as needed to reflect Enron regulatory positions and recommendations</w:t>
      </w:r>
    </w:p>
    <w:p>
      <w:pPr>
        <w:pStyle w:val="Normal"/>
        <w:numPr>
          <w:ilvl w:val="0"/>
          <w:numId w:val="7"/>
        </w:numPr>
        <w:rPr>
          <w:sz w:val="24"/>
        </w:rPr>
      </w:pPr>
      <w:r>
        <w:rPr>
          <w:sz w:val="24"/>
        </w:rPr>
        <w:t>Be available for participation in planning of and participation in relevant conferences on an ongoing basis.</w:t>
      </w:r>
    </w:p>
    <w:p>
      <w:pPr>
        <w:pStyle w:val="Normal"/>
        <w:numPr>
          <w:ilvl w:val="0"/>
          <w:numId w:val="7"/>
        </w:numPr>
        <w:rPr>
          <w:sz w:val="24"/>
        </w:rPr>
      </w:pPr>
      <w:r>
        <w:rPr>
          <w:sz w:val="24"/>
        </w:rPr>
        <w:t>Staff Regulatory Affairs.</w:t>
      </w:r>
    </w:p>
    <w:p>
      <w:pPr>
        <w:pStyle w:val="Normal"/>
        <w:numPr>
          <w:ilvl w:val="0"/>
          <w:numId w:val="7"/>
        </w:numPr>
        <w:rPr>
          <w:sz w:val="24"/>
        </w:rPr>
      </w:pPr>
      <w:r>
        <w:rPr>
          <w:sz w:val="24"/>
        </w:rPr>
        <w:t xml:space="preserve">Create training program in Houston for internships. </w:t>
      </w:r>
    </w:p>
    <w:p>
      <w:pPr>
        <w:pStyle w:val="Normal"/>
        <w:numPr>
          <w:ilvl w:val="0"/>
          <w:numId w:val="7"/>
        </w:numPr>
        <w:rPr>
          <w:sz w:val="24"/>
        </w:rPr>
      </w:pPr>
      <w:r>
        <w:rPr>
          <w:sz w:val="24"/>
        </w:rPr>
        <w:t>Create monitoring and summary function to circulate summaries of introduced documentation, laws and regulations along with impact of same on commercial activities.</w:t>
      </w:r>
    </w:p>
    <w:p>
      <w:pPr>
        <w:pStyle w:val="Normal"/>
        <w:rPr>
          <w:sz w:val="24"/>
        </w:rPr>
      </w:pPr>
      <w:r>
        <w:rPr>
          <w:sz w:val="24"/>
        </w:rPr>
      </w:r>
    </w:p>
    <w:p>
      <w:pPr>
        <w:pStyle w:val="Heading1"/>
        <w:ind w:hanging="0" w:start="0"/>
        <w:rPr/>
      </w:pPr>
      <w:r>
        <w:rPr/>
        <w:t>Gas</w:t>
      </w:r>
    </w:p>
    <w:p>
      <w:pPr>
        <w:pStyle w:val="Normal"/>
        <w:rPr/>
      </w:pPr>
      <w:r>
        <w:rPr/>
      </w:r>
    </w:p>
    <w:p>
      <w:pPr>
        <w:pStyle w:val="Normal"/>
        <w:numPr>
          <w:ilvl w:val="0"/>
          <w:numId w:val="14"/>
        </w:numPr>
        <w:rPr>
          <w:sz w:val="24"/>
        </w:rPr>
      </w:pPr>
      <w:r>
        <w:rPr>
          <w:sz w:val="24"/>
        </w:rPr>
        <w:t>Perform Regulatory Assessment -- Center</w:t>
      </w:r>
    </w:p>
    <w:p>
      <w:pPr>
        <w:pStyle w:val="Normal"/>
        <w:numPr>
          <w:ilvl w:val="0"/>
          <w:numId w:val="15"/>
        </w:numPr>
        <w:rPr>
          <w:sz w:val="24"/>
        </w:rPr>
      </w:pPr>
      <w:r>
        <w:rPr>
          <w:sz w:val="24"/>
        </w:rPr>
        <w:t xml:space="preserve">All legislation that pertains to the gas sector and how it interrelates. </w:t>
      </w:r>
    </w:p>
    <w:p>
      <w:pPr>
        <w:pStyle w:val="Normal"/>
        <w:numPr>
          <w:ilvl w:val="0"/>
          <w:numId w:val="15"/>
        </w:numPr>
        <w:rPr>
          <w:sz w:val="24"/>
        </w:rPr>
      </w:pPr>
      <w:r>
        <w:rPr>
          <w:sz w:val="24"/>
        </w:rPr>
        <w:t>Proposed legislation.</w:t>
      </w:r>
    </w:p>
    <w:p>
      <w:pPr>
        <w:pStyle w:val="Normal"/>
        <w:numPr>
          <w:ilvl w:val="0"/>
          <w:numId w:val="15"/>
        </w:numPr>
        <w:rPr>
          <w:sz w:val="24"/>
        </w:rPr>
      </w:pPr>
      <w:r>
        <w:rPr>
          <w:sz w:val="24"/>
        </w:rPr>
        <w:t>Estimated timeline as to development of competitive markets</w:t>
      </w:r>
    </w:p>
    <w:p>
      <w:pPr>
        <w:pStyle w:val="Normal"/>
        <w:numPr>
          <w:ilvl w:val="0"/>
          <w:numId w:val="14"/>
        </w:numPr>
        <w:rPr>
          <w:sz w:val="24"/>
        </w:rPr>
      </w:pPr>
      <w:r>
        <w:rPr>
          <w:sz w:val="24"/>
        </w:rPr>
        <w:t xml:space="preserve">Perform Regulatory Assessment – State, for four critical states.  </w:t>
      </w:r>
    </w:p>
    <w:p>
      <w:pPr>
        <w:pStyle w:val="Normal"/>
        <w:numPr>
          <w:ilvl w:val="0"/>
          <w:numId w:val="10"/>
        </w:numPr>
        <w:rPr>
          <w:sz w:val="24"/>
        </w:rPr>
      </w:pPr>
      <w:r>
        <w:rPr>
          <w:sz w:val="24"/>
        </w:rPr>
        <w:t>For Gujarat State, send comments to Ministry of Petroleum with regard to the Proposed Regulatory Framework.  Maintain communication with Ministry on same as it attempts to preempt the field.  At the same time, give input into the Gujarat regulatory framework to ensure that it is as workable as possible under the circumstances.</w:t>
      </w:r>
    </w:p>
    <w:p>
      <w:pPr>
        <w:pStyle w:val="Normal"/>
        <w:numPr>
          <w:ilvl w:val="0"/>
          <w:numId w:val="10"/>
        </w:numPr>
        <w:rPr>
          <w:sz w:val="24"/>
        </w:rPr>
      </w:pPr>
      <w:r>
        <w:rPr>
          <w:sz w:val="24"/>
        </w:rPr>
        <w:t>For Andhra Pradesh, Maharashtra and Karnataka form appropriate relationships to prevent the Gujarat model from spreading.</w:t>
      </w:r>
    </w:p>
    <w:p>
      <w:pPr>
        <w:pStyle w:val="Normal"/>
        <w:numPr>
          <w:ilvl w:val="0"/>
          <w:numId w:val="14"/>
        </w:numPr>
        <w:rPr>
          <w:sz w:val="24"/>
        </w:rPr>
      </w:pPr>
      <w:r>
        <w:rPr>
          <w:sz w:val="24"/>
        </w:rPr>
        <w:t>Create database.  Electronic file room of all regulatory/legal documents; regulatory assessments; reports, etc.</w:t>
      </w:r>
    </w:p>
    <w:p>
      <w:pPr>
        <w:pStyle w:val="Normal"/>
        <w:numPr>
          <w:ilvl w:val="0"/>
          <w:numId w:val="14"/>
        </w:numPr>
        <w:rPr>
          <w:sz w:val="24"/>
        </w:rPr>
      </w:pPr>
      <w:r>
        <w:rPr>
          <w:sz w:val="24"/>
        </w:rPr>
        <w:t>Metgas support</w:t>
      </w:r>
    </w:p>
    <w:p>
      <w:pPr>
        <w:pStyle w:val="Normal"/>
        <w:numPr>
          <w:ilvl w:val="0"/>
          <w:numId w:val="11"/>
        </w:numPr>
        <w:rPr>
          <w:sz w:val="24"/>
        </w:rPr>
      </w:pPr>
      <w:r>
        <w:rPr>
          <w:sz w:val="24"/>
        </w:rPr>
        <w:t>Development of tariff and supporting worksheets.  Reexamine in light of Ministry of Petroleum’s infomration that the regulation in the gas sector would be extremely light handed.</w:t>
      </w:r>
    </w:p>
    <w:p>
      <w:pPr>
        <w:pStyle w:val="Normal"/>
        <w:numPr>
          <w:ilvl w:val="0"/>
          <w:numId w:val="11"/>
        </w:numPr>
        <w:rPr>
          <w:sz w:val="24"/>
        </w:rPr>
      </w:pPr>
      <w:r>
        <w:rPr>
          <w:sz w:val="24"/>
        </w:rPr>
        <w:t>Render ongoing assistance on Gas Transportation Agreement.</w:t>
      </w:r>
    </w:p>
    <w:p>
      <w:pPr>
        <w:pStyle w:val="Normal"/>
        <w:numPr>
          <w:ilvl w:val="0"/>
          <w:numId w:val="11"/>
        </w:numPr>
        <w:rPr>
          <w:sz w:val="24"/>
        </w:rPr>
      </w:pPr>
      <w:r>
        <w:rPr>
          <w:sz w:val="24"/>
        </w:rPr>
        <w:t>Render assistance and advice on Gas Supply Agreement .</w:t>
      </w:r>
    </w:p>
    <w:p>
      <w:pPr>
        <w:pStyle w:val="Normal"/>
        <w:numPr>
          <w:ilvl w:val="0"/>
          <w:numId w:val="11"/>
        </w:numPr>
        <w:rPr>
          <w:sz w:val="24"/>
        </w:rPr>
      </w:pPr>
      <w:r>
        <w:rPr>
          <w:sz w:val="24"/>
        </w:rPr>
        <w:t>Render assistance and advice on operational matters, such as nominations, scheduling, curtailment and the like.</w:t>
      </w:r>
    </w:p>
    <w:p>
      <w:pPr>
        <w:pStyle w:val="Normal"/>
        <w:numPr>
          <w:ilvl w:val="0"/>
          <w:numId w:val="11"/>
        </w:numPr>
        <w:rPr>
          <w:sz w:val="24"/>
        </w:rPr>
      </w:pPr>
      <w:r>
        <w:rPr>
          <w:sz w:val="24"/>
        </w:rPr>
        <w:t>Anticipate advent of centre and state regulatory commissions.  Position Metgas appropriately.</w:t>
      </w:r>
    </w:p>
    <w:p>
      <w:pPr>
        <w:pStyle w:val="Normal"/>
        <w:numPr>
          <w:ilvl w:val="0"/>
          <w:numId w:val="11"/>
        </w:numPr>
        <w:rPr>
          <w:sz w:val="24"/>
        </w:rPr>
      </w:pPr>
      <w:r>
        <w:rPr>
          <w:sz w:val="24"/>
        </w:rPr>
        <w:t>Assistance on strategy for distribution companies in terms of structuring and activities.</w:t>
      </w:r>
    </w:p>
    <w:p>
      <w:pPr>
        <w:pStyle w:val="Normal"/>
        <w:numPr>
          <w:ilvl w:val="0"/>
          <w:numId w:val="14"/>
        </w:numPr>
        <w:rPr>
          <w:sz w:val="24"/>
        </w:rPr>
      </w:pPr>
      <w:r>
        <w:rPr>
          <w:sz w:val="24"/>
        </w:rPr>
        <w:t xml:space="preserve">Develop and support consortia that advocate Enron positions, such as cooperation with British Gas and GAIL with regard to the Gujarat regulatory framework. </w:t>
      </w:r>
    </w:p>
    <w:p>
      <w:pPr>
        <w:pStyle w:val="Normal"/>
        <w:numPr>
          <w:ilvl w:val="0"/>
          <w:numId w:val="14"/>
        </w:numPr>
        <w:rPr>
          <w:sz w:val="24"/>
        </w:rPr>
      </w:pPr>
      <w:r>
        <w:rPr>
          <w:sz w:val="24"/>
        </w:rPr>
        <w:t>Assist in white papers on the LNG industry, its appropriate regulation and customs treatment as requested by the Ministry of Petroleum.</w:t>
      </w:r>
    </w:p>
    <w:p>
      <w:pPr>
        <w:pStyle w:val="Normal"/>
        <w:rPr>
          <w:sz w:val="24"/>
        </w:rPr>
      </w:pPr>
      <w:r>
        <w:rPr>
          <w:sz w:val="24"/>
        </w:rPr>
      </w:r>
    </w:p>
    <w:p>
      <w:pPr>
        <w:pStyle w:val="Heading1"/>
        <w:ind w:hanging="0" w:start="0"/>
        <w:rPr>
          <w:u w:val="none"/>
        </w:rPr>
      </w:pPr>
      <w:r>
        <w:rPr/>
        <w:t>Enron Energy Services</w:t>
      </w:r>
    </w:p>
    <w:p>
      <w:pPr>
        <w:pStyle w:val="Normal"/>
        <w:numPr>
          <w:ilvl w:val="0"/>
          <w:numId w:val="17"/>
        </w:numPr>
        <w:rPr>
          <w:sz w:val="24"/>
        </w:rPr>
      </w:pPr>
      <w:r>
        <w:rPr>
          <w:sz w:val="24"/>
        </w:rPr>
        <w:t>Create database</w:t>
      </w:r>
    </w:p>
    <w:p>
      <w:pPr>
        <w:pStyle w:val="Normal"/>
        <w:numPr>
          <w:ilvl w:val="0"/>
          <w:numId w:val="17"/>
        </w:numPr>
        <w:rPr>
          <w:sz w:val="24"/>
        </w:rPr>
      </w:pPr>
      <w:r>
        <w:rPr>
          <w:sz w:val="24"/>
        </w:rPr>
        <w:t>Participate in restructuring Centre and State processes to appropriately position retail activities.</w:t>
      </w:r>
    </w:p>
    <w:p>
      <w:pPr>
        <w:pStyle w:val="Normal"/>
        <w:numPr>
          <w:ilvl w:val="0"/>
          <w:numId w:val="17"/>
        </w:numPr>
        <w:rPr>
          <w:sz w:val="24"/>
        </w:rPr>
      </w:pPr>
      <w:r>
        <w:rPr>
          <w:sz w:val="24"/>
        </w:rPr>
        <w:t>Reconcile detailed analysis of the captive generation regulations from state to state.</w:t>
      </w:r>
    </w:p>
    <w:p>
      <w:pPr>
        <w:pStyle w:val="Normal"/>
        <w:rPr>
          <w:sz w:val="24"/>
        </w:rPr>
      </w:pPr>
      <w:r>
        <w:rPr>
          <w:sz w:val="24"/>
        </w:rPr>
      </w:r>
    </w:p>
    <w:p>
      <w:pPr>
        <w:pStyle w:val="Heading1"/>
        <w:ind w:hanging="0" w:start="0"/>
        <w:rPr>
          <w:u w:val="none"/>
        </w:rPr>
      </w:pPr>
      <w:r>
        <w:rPr/>
        <w:t>Enron Communication</w:t>
      </w:r>
    </w:p>
    <w:p>
      <w:pPr>
        <w:pStyle w:val="Normal"/>
        <w:numPr>
          <w:ilvl w:val="0"/>
          <w:numId w:val="16"/>
        </w:numPr>
        <w:rPr>
          <w:sz w:val="24"/>
        </w:rPr>
      </w:pPr>
      <w:r>
        <w:rPr>
          <w:sz w:val="24"/>
        </w:rPr>
        <w:t>Create database of pertinent legislation and documentation.</w:t>
      </w:r>
    </w:p>
    <w:p>
      <w:pPr>
        <w:pStyle w:val="Normal"/>
        <w:numPr>
          <w:ilvl w:val="0"/>
          <w:numId w:val="16"/>
        </w:numPr>
        <w:rPr>
          <w:sz w:val="24"/>
        </w:rPr>
      </w:pPr>
      <w:r>
        <w:rPr>
          <w:sz w:val="24"/>
        </w:rPr>
        <w:t>Monitor efforts to create legislative and regulatory framework for internet.</w:t>
      </w:r>
    </w:p>
    <w:p>
      <w:pPr>
        <w:pStyle w:val="Normal"/>
        <w:numPr>
          <w:ilvl w:val="0"/>
          <w:numId w:val="16"/>
        </w:numPr>
        <w:rPr>
          <w:sz w:val="24"/>
        </w:rPr>
      </w:pPr>
      <w:r>
        <w:rPr>
          <w:sz w:val="24"/>
        </w:rPr>
        <w:t>Ensure that other areas of Enron regulatory is connected in to India.</w:t>
      </w:r>
      <w:r>
        <w:br w:type="page"/>
      </w:r>
    </w:p>
    <w:p>
      <w:pPr>
        <w:pStyle w:val="Heading1"/>
        <w:ind w:hanging="0" w:start="0"/>
        <w:rPr/>
      </w:pPr>
      <w:r>
        <w:rPr/>
        <w:t>Communications</w:t>
      </w:r>
    </w:p>
    <w:p>
      <w:pPr>
        <w:pStyle w:val="Normal"/>
        <w:rPr/>
      </w:pPr>
      <w:r>
        <w:rPr/>
      </w:r>
    </w:p>
    <w:p>
      <w:pPr>
        <w:pStyle w:val="Normal"/>
        <w:numPr>
          <w:ilvl w:val="0"/>
          <w:numId w:val="9"/>
        </w:numPr>
        <w:rPr>
          <w:sz w:val="24"/>
        </w:rPr>
      </w:pPr>
      <w:r>
        <w:rPr>
          <w:sz w:val="24"/>
        </w:rPr>
        <w:t>Perform Regulatory Assessment</w:t>
      </w:r>
    </w:p>
    <w:p>
      <w:pPr>
        <w:pStyle w:val="Normal"/>
        <w:numPr>
          <w:ilvl w:val="0"/>
          <w:numId w:val="9"/>
        </w:numPr>
        <w:rPr>
          <w:sz w:val="24"/>
        </w:rPr>
      </w:pPr>
      <w:r>
        <w:rPr>
          <w:sz w:val="24"/>
        </w:rPr>
        <w:t>Create database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
      <w:numFmt w:val="lowerLetter"/>
      <w:lvlText w:val="%1."/>
      <w:lvlJc w:val="start"/>
      <w:pPr>
        <w:tabs>
          <w:tab w:val="num" w:pos="1440"/>
        </w:tabs>
        <w:ind w:start="144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1999-12-18T07:36:00Z</dcterms:created>
  <dc:creator>eecc</dc:creator>
  <dc:description/>
  <dc:language>en-CA</dc:language>
  <cp:lastModifiedBy>eecc</cp:lastModifiedBy>
  <dcterms:modified xsi:type="dcterms:W3CDTF">1999-12-21T03:42:00Z</dcterms:modified>
  <cp:revision>5</cp:revision>
  <dc:subject/>
  <dc:title>GOALS AND OBJECTIVES FOR REGULATORY/GOV’T AFFAIRS</dc:title>
</cp:coreProperties>
</file>