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56"/>
        </w:rPr>
      </w:pPr>
      <w:r>
        <w:rPr>
          <w:sz w:val="56"/>
        </w:rPr>
        <w:t>Project Name</w:t>
      </w:r>
    </w:p>
    <w:p>
      <w:pPr>
        <w:pStyle w:val="Normal"/>
        <w:rPr>
          <w:sz w:val="56"/>
        </w:rPr>
      </w:pPr>
      <w:r>
        <w:rPr>
          <w:sz w:val="56"/>
        </w:rPr>
        <w:t>GO01 : Online Trading</w:t>
      </w:r>
    </w:p>
    <w:p>
      <w:pPr>
        <w:pStyle w:val="Normal"/>
        <w:rPr>
          <w:sz w:val="56"/>
        </w:rPr>
      </w:pPr>
      <w:r>
        <w:rPr>
          <w:sz w:val="56"/>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0"/>
                                <w:rFonts w:ascii="Arial" w:hAnsi="Arial" w:eastAsia="Times New Roman" w:cs="Arial"/>
                                <w:color w:val="808080"/>
                                <w:lang w:val="en-GB"/>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0"/>
                          <w:rFonts w:ascii="Arial" w:hAnsi="Arial" w:eastAsia="Times New Roman" w:cs="Arial"/>
                          <w:color w:val="808080"/>
                          <w:lang w:val="en-GB"/>
                        </w:rPr>
                        <w:t>Inception Document</w:t>
                      </w:r>
                    </w:p>
                  </w:txbxContent>
                </v:textbox>
                <v:fill o:detectmouseclick="t" on="false"/>
                <v:stroke color="#3465a4" joinstyle="round" endcap="flat"/>
                <w10:wrap type="none"/>
              </v:shape>
            </w:pict>
          </mc:Fallback>
        </mc:AlternateContent>
      </w:r>
    </w:p>
    <w:p>
      <w:pPr>
        <w:pStyle w:val="Normal"/>
        <w:rPr/>
      </w:pPr>
      <w:r>
        <w:rPr/>
      </w:r>
    </w:p>
    <w:p>
      <w:pPr>
        <w:pStyle w:val="Normal"/>
        <w:rPr/>
      </w:pPr>
      <w:r>
        <w:rPr/>
        <w:drawing>
          <wp:inline distT="0" distB="0" distL="0" distR="0">
            <wp:extent cx="2197100" cy="21945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
          <w:i/>
        </w:rPr>
      </w:pPr>
      <w:r>
        <w:rPr>
          <w:i/>
        </w:rPr>
        <w:t>On behalf of</w:t>
      </w:r>
    </w:p>
    <w:p>
      <w:pPr>
        <w:pStyle w:val="Normal"/>
        <w:rPr>
          <w:sz w:val="48"/>
        </w:rPr>
      </w:pPr>
      <w:r>
        <w:rPr>
          <w:sz w:val="48"/>
        </w:rPr>
        <w:t>Enron Europe Limited</w:t>
      </w:r>
    </w:p>
    <w:p>
      <w:pPr>
        <w:pStyle w:val="Normal"/>
        <w:rPr>
          <w:sz w:val="48"/>
        </w:rPr>
      </w:pPr>
      <w:r>
        <w:rPr>
          <w:sz w:val="48"/>
        </w:rPr>
      </w:r>
    </w:p>
    <w:p>
      <w:pPr>
        <w:pStyle w:val="Normal"/>
        <w:jc w:val="center"/>
        <w:rPr>
          <w:b/>
          <w:sz w:val="24"/>
        </w:rPr>
      </w:pPr>
      <w:r>
        <w:rPr>
          <w:b/>
          <w:sz w:val="24"/>
        </w:rPr>
        <w:t>“</w:t>
      </w:r>
      <w:r>
        <w:rPr>
          <w:b/>
          <w:sz w:val="24"/>
        </w:rPr>
        <w:t>Invention Breeds Invention”</w:t>
      </w:r>
    </w:p>
    <w:p>
      <w:pPr>
        <w:pStyle w:val="Normal"/>
        <w:jc w:val="center"/>
        <w:rPr/>
      </w:pPr>
      <w:r>
        <w:rPr>
          <w:b/>
          <w:sz w:val="16"/>
        </w:rPr>
        <w:t xml:space="preserve">       </w:t>
      </w:r>
      <w:r>
        <w:rPr>
          <w:b/>
          <w:sz w:val="16"/>
        </w:rPr>
        <w:tab/>
        <w:tab/>
      </w:r>
      <w:r>
        <w:rPr>
          <w:i/>
          <w:sz w:val="16"/>
        </w:rPr>
        <w:t>Ralph Waldo Emerson, 1860</w:t>
      </w:r>
    </w:p>
    <w:p>
      <w:pPr>
        <w:pStyle w:val="Normal"/>
        <w:rPr/>
      </w:pPr>
      <w:r>
        <w:rPr/>
      </w:r>
    </w:p>
    <w:p>
      <w:pPr>
        <w:pStyle w:val="Normal"/>
        <w:rPr/>
      </w:pPr>
      <w:r>
        <w:rPr/>
      </w:r>
    </w:p>
    <w:p>
      <w:pPr>
        <w:pStyle w:val="Normal"/>
        <w:rPr/>
      </w:pPr>
      <w:r>
        <w:rPr/>
      </w:r>
    </w:p>
    <w:tbl>
      <w:tblPr>
        <w:tblW w:w="6379" w:type="dxa"/>
        <w:jc w:val="start"/>
        <w:tblInd w:w="108" w:type="dxa"/>
        <w:tblLayout w:type="fixed"/>
        <w:tblCellMar>
          <w:top w:w="0" w:type="dxa"/>
          <w:start w:w="108" w:type="dxa"/>
          <w:bottom w:w="0" w:type="dxa"/>
          <w:end w:w="108" w:type="dxa"/>
        </w:tblCellMar>
      </w:tblPr>
      <w:tblGrid>
        <w:gridCol w:w="2694"/>
        <w:gridCol w:w="3685"/>
      </w:tblGrid>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Project Code:</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GO01</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Document Classification:</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Ready for Review</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Version:</w:t>
            </w:r>
          </w:p>
        </w:tc>
        <w:tc>
          <w:tcPr>
            <w:tcW w:w="3685" w:type="dxa"/>
            <w:tcBorders>
              <w:top w:val="single" w:sz="6" w:space="0" w:color="000000"/>
              <w:start w:val="single" w:sz="6" w:space="0" w:color="000000"/>
              <w:bottom w:val="single" w:sz="6" w:space="0" w:color="000000"/>
              <w:end w:val="single" w:sz="6" w:space="0" w:color="000000"/>
            </w:tcBorders>
          </w:tcPr>
          <w:p>
            <w:pPr>
              <w:pStyle w:val="Normal"/>
              <w:rPr>
                <w:b/>
              </w:rPr>
            </w:pPr>
            <w:r>
              <w:rPr>
                <w:b/>
              </w:rPr>
              <w:t>1.00</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Filename:</w:t>
            </w:r>
          </w:p>
        </w:tc>
        <w:tc>
          <w:tcPr>
            <w:tcW w:w="3685" w:type="dxa"/>
            <w:tcBorders>
              <w:top w:val="single" w:sz="6" w:space="0" w:color="000000"/>
              <w:start w:val="single" w:sz="6" w:space="0" w:color="000000"/>
              <w:bottom w:val="single" w:sz="6" w:space="0" w:color="000000"/>
              <w:end w:val="single" w:sz="6" w:space="0" w:color="000000"/>
            </w:tcBorders>
          </w:tcPr>
          <w:p>
            <w:pPr>
              <w:pStyle w:val="Normal"/>
              <w:rPr>
                <w:b/>
              </w:rPr>
            </w:pPr>
            <w:r>
              <w:rPr>
                <w:b/>
              </w:rPr>
              <w:t>GO01 Inception.doc</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Prepared by:</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p>
            <w:pPr>
              <w:pStyle w:val="TOC1"/>
              <w:tabs>
                <w:tab w:val="clear" w:pos="9016"/>
              </w:tabs>
              <w:spacing w:before="0" w:after="0"/>
              <w:rPr>
                <w:caps w:val="false"/>
                <w:smallCaps w:val="false"/>
                <w:lang w:val="en-GB"/>
              </w:rPr>
            </w:pPr>
            <w:r>
              <w:rPr>
                <w:caps w:val="false"/>
                <w:smallCaps w:val="false"/>
                <w:lang w:val="en-GB"/>
              </w:rPr>
              <w:t>UK / European IT Systems Development</w:t>
            </w:r>
          </w:p>
          <w:p>
            <w:pPr>
              <w:pStyle w:val="Normal"/>
              <w:rPr>
                <w:caps/>
                <w:lang w:val="en-GB"/>
              </w:rPr>
            </w:pPr>
            <w:r>
              <w:rPr>
                <w:caps/>
                <w:lang w:val="en-GB"/>
              </w:rPr>
            </w:r>
          </w:p>
          <w:p>
            <w:pPr>
              <w:pStyle w:val="FootnoteText"/>
              <w:rPr/>
            </w:pPr>
            <w:r>
              <w:rPr/>
              <w:t>David Port</w:t>
            </w:r>
          </w:p>
          <w:p>
            <w:pPr>
              <w:pStyle w:val="Normal"/>
              <w:rPr>
                <w:b/>
              </w:rPr>
            </w:pPr>
            <w:r>
              <w:rPr>
                <w:b/>
              </w:rPr>
              <w:t>London Risk Management and Trading</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Date:</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 xml:space="preserve">30 April 1999 </w:t>
            </w:r>
          </w:p>
        </w:tc>
      </w:tr>
    </w:tbl>
    <w:p>
      <w:pPr>
        <w:pStyle w:val="Normal"/>
        <w:rPr/>
      </w:pPr>
      <w:r>
        <w:rPr/>
      </w:r>
    </w:p>
    <w:p>
      <w:pPr>
        <w:pStyle w:val="Normal"/>
        <w:rPr/>
      </w:pPr>
      <w:r>
        <w:rPr/>
      </w:r>
    </w:p>
    <w:p>
      <w:pPr>
        <w:pStyle w:val="Normal"/>
        <w:rPr/>
      </w:pPr>
      <w:r>
        <w:rPr/>
      </w:r>
    </w:p>
    <w:p>
      <w:pPr>
        <w:pStyle w:val="Normal"/>
        <w:rPr/>
      </w:pPr>
      <w:r>
        <w:rPr/>
      </w:r>
    </w:p>
    <w:p>
      <w:pPr>
        <w:pStyle w:val="Normal"/>
        <w:rPr/>
      </w:pPr>
      <w:r>
        <w:rPr/>
        <w:t>Authorised for Release:</w:t>
        <w:tab/>
        <w:t>………………………………………………………</w:t>
      </w:r>
    </w:p>
    <w:p>
      <w:pPr>
        <w:pStyle w:val="Normal"/>
        <w:rPr/>
      </w:pPr>
      <w:r>
        <w:rPr/>
      </w:r>
      <w:r>
        <w:br w:type="page"/>
      </w:r>
    </w:p>
    <w:p>
      <w:pPr>
        <w:pStyle w:val="Heading"/>
        <w:jc w:val="start"/>
        <w:rPr/>
      </w:pPr>
      <w:r>
        <w:rPr/>
        <w:t>Contents</w:t>
      </w:r>
    </w:p>
    <w:p>
      <w:pPr>
        <w:pStyle w:val="Normal"/>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Introduction</w:t>
            <w:tab/>
          </w:r>
          <w:hyperlink w:anchor="__RefHeading___Toc450095914">
            <w:r>
              <w:rPr>
                <w:rStyle w:val="IndexLink"/>
              </w:rPr>
              <w:t>3</w:t>
            </w:r>
          </w:hyperlink>
        </w:p>
        <w:p>
          <w:pPr>
            <w:pStyle w:val="TOC1"/>
            <w:tabs>
              <w:tab w:val="left" w:pos="400" w:leader="none"/>
              <w:tab w:val="right" w:pos="9016" w:leader="dot"/>
            </w:tabs>
            <w:rPr/>
          </w:pPr>
          <w:r>
            <w:rPr/>
            <w:t>2</w:t>
            <w:tab/>
            <w:t>Statement of Requirements</w:t>
            <w:tab/>
          </w:r>
          <w:hyperlink w:anchor="__RefHeading___Toc450095915">
            <w:r>
              <w:rPr>
                <w:rStyle w:val="IndexLink"/>
              </w:rPr>
              <w:t>4</w:t>
            </w:r>
          </w:hyperlink>
        </w:p>
        <w:p>
          <w:pPr>
            <w:pStyle w:val="TOC2"/>
            <w:tabs>
              <w:tab w:val="left" w:pos="800" w:leader="none"/>
              <w:tab w:val="right" w:pos="9016" w:leader="dot"/>
            </w:tabs>
            <w:rPr/>
          </w:pPr>
          <w:r>
            <w:rPr/>
            <w:t>2.1</w:t>
            <w:tab/>
            <w:t>Project Vision</w:t>
            <w:tab/>
          </w:r>
          <w:hyperlink w:anchor="__RefHeading___Toc450095916">
            <w:r>
              <w:rPr>
                <w:rStyle w:val="IndexLink"/>
              </w:rPr>
              <w:t>4</w:t>
            </w:r>
          </w:hyperlink>
        </w:p>
        <w:p>
          <w:pPr>
            <w:pStyle w:val="TOC2"/>
            <w:tabs>
              <w:tab w:val="left" w:pos="800" w:leader="none"/>
              <w:tab w:val="right" w:pos="9016" w:leader="dot"/>
            </w:tabs>
            <w:rPr/>
          </w:pPr>
          <w:r>
            <w:rPr/>
            <w:t>2.2</w:t>
            <w:tab/>
            <w:t>Business Benefits</w:t>
            <w:tab/>
          </w:r>
          <w:hyperlink w:anchor="__RefHeading___Toc450095917">
            <w:r>
              <w:rPr>
                <w:rStyle w:val="IndexLink"/>
              </w:rPr>
              <w:t>4</w:t>
            </w:r>
          </w:hyperlink>
        </w:p>
        <w:p>
          <w:pPr>
            <w:pStyle w:val="TOC2"/>
            <w:tabs>
              <w:tab w:val="left" w:pos="800" w:leader="none"/>
              <w:tab w:val="right" w:pos="9016" w:leader="dot"/>
            </w:tabs>
            <w:rPr/>
          </w:pPr>
          <w:r>
            <w:rPr/>
            <w:t>2.3</w:t>
            <w:tab/>
            <w:t>System Requirements</w:t>
            <w:tab/>
          </w:r>
          <w:hyperlink w:anchor="__RefHeading___Toc450095918">
            <w:r>
              <w:rPr>
                <w:rStyle w:val="IndexLink"/>
              </w:rPr>
              <w:t>4</w:t>
            </w:r>
          </w:hyperlink>
        </w:p>
        <w:p>
          <w:pPr>
            <w:pStyle w:val="TOC2"/>
            <w:tabs>
              <w:tab w:val="left" w:pos="800" w:leader="none"/>
              <w:tab w:val="right" w:pos="9016" w:leader="dot"/>
            </w:tabs>
            <w:rPr/>
          </w:pPr>
          <w:r>
            <w:rPr/>
            <w:t>2.4</w:t>
            <w:tab/>
            <w:t>Requirements - External View</w:t>
            <w:tab/>
          </w:r>
          <w:hyperlink w:anchor="__RefHeading___Toc450095919">
            <w:r>
              <w:rPr>
                <w:rStyle w:val="IndexLink"/>
              </w:rPr>
              <w:t>4</w:t>
            </w:r>
          </w:hyperlink>
        </w:p>
        <w:p>
          <w:pPr>
            <w:pStyle w:val="TOC3"/>
            <w:tabs>
              <w:tab w:val="clear" w:pos="720"/>
              <w:tab w:val="left" w:pos="1200" w:leader="none"/>
              <w:tab w:val="right" w:pos="9016" w:leader="dot"/>
            </w:tabs>
            <w:rPr>
              <w:lang w:val="en-CA"/>
            </w:rPr>
          </w:pPr>
          <w:r>
            <w:rPr>
              <w:lang w:val="en-CA"/>
            </w:rPr>
            <w:t>2.4.1</w:t>
            <w:tab/>
            <w:t>Provision of Marketing Information</w:t>
            <w:tab/>
          </w:r>
          <w:hyperlink w:anchor="__RefHeading___Toc450095920">
            <w:r>
              <w:rPr>
                <w:rStyle w:val="IndexLink"/>
                <w:lang w:val="en-CA"/>
              </w:rPr>
              <w:t>4</w:t>
            </w:r>
          </w:hyperlink>
        </w:p>
        <w:p>
          <w:pPr>
            <w:pStyle w:val="TOC3"/>
            <w:tabs>
              <w:tab w:val="clear" w:pos="720"/>
              <w:tab w:val="left" w:pos="1200" w:leader="none"/>
              <w:tab w:val="right" w:pos="9016" w:leader="dot"/>
            </w:tabs>
            <w:rPr>
              <w:lang w:val="en-CA"/>
            </w:rPr>
          </w:pPr>
          <w:r>
            <w:rPr>
              <w:lang w:val="en-CA"/>
            </w:rPr>
            <w:t>2.4.2</w:t>
            <w:tab/>
            <w:t>Customer Registration</w:t>
            <w:tab/>
          </w:r>
          <w:hyperlink w:anchor="__RefHeading___Toc450095921">
            <w:r>
              <w:rPr>
                <w:rStyle w:val="IndexLink"/>
                <w:lang w:val="en-CA"/>
              </w:rPr>
              <w:t>4</w:t>
            </w:r>
          </w:hyperlink>
        </w:p>
        <w:p>
          <w:pPr>
            <w:pStyle w:val="TOC3"/>
            <w:tabs>
              <w:tab w:val="clear" w:pos="720"/>
              <w:tab w:val="left" w:pos="1200" w:leader="none"/>
              <w:tab w:val="right" w:pos="9016" w:leader="dot"/>
            </w:tabs>
            <w:rPr>
              <w:lang w:val="en-CA"/>
            </w:rPr>
          </w:pPr>
          <w:r>
            <w:rPr>
              <w:lang w:val="en-CA"/>
            </w:rPr>
            <w:t>2.4.3</w:t>
            <w:tab/>
            <w:t>Customer Feedback</w:t>
            <w:tab/>
          </w:r>
          <w:hyperlink w:anchor="__RefHeading___Toc450095922">
            <w:r>
              <w:rPr>
                <w:rStyle w:val="IndexLink"/>
                <w:lang w:val="en-CA"/>
              </w:rPr>
              <w:t>4</w:t>
            </w:r>
          </w:hyperlink>
        </w:p>
        <w:p>
          <w:pPr>
            <w:pStyle w:val="TOC3"/>
            <w:tabs>
              <w:tab w:val="clear" w:pos="720"/>
              <w:tab w:val="left" w:pos="1200" w:leader="none"/>
              <w:tab w:val="right" w:pos="9016" w:leader="dot"/>
            </w:tabs>
            <w:rPr>
              <w:lang w:val="en-CA"/>
            </w:rPr>
          </w:pPr>
          <w:r>
            <w:rPr>
              <w:lang w:val="en-CA"/>
            </w:rPr>
            <w:t>2.4.4</w:t>
            <w:tab/>
            <w:t>Customer Details Management</w:t>
            <w:tab/>
          </w:r>
          <w:hyperlink w:anchor="__RefHeading___Toc450095923">
            <w:r>
              <w:rPr>
                <w:rStyle w:val="IndexLink"/>
                <w:lang w:val="en-CA"/>
              </w:rPr>
              <w:t>4</w:t>
            </w:r>
          </w:hyperlink>
        </w:p>
        <w:p>
          <w:pPr>
            <w:pStyle w:val="TOC3"/>
            <w:tabs>
              <w:tab w:val="clear" w:pos="720"/>
              <w:tab w:val="left" w:pos="1200" w:leader="none"/>
              <w:tab w:val="right" w:pos="9016" w:leader="dot"/>
            </w:tabs>
            <w:rPr>
              <w:lang w:val="en-CA"/>
            </w:rPr>
          </w:pPr>
          <w:r>
            <w:rPr>
              <w:lang w:val="en-CA"/>
            </w:rPr>
            <w:t>2.4.5</w:t>
            <w:tab/>
            <w:t>User Management</w:t>
            <w:tab/>
          </w:r>
          <w:hyperlink w:anchor="__RefHeading___Toc450095924">
            <w:r>
              <w:rPr>
                <w:rStyle w:val="IndexLink"/>
                <w:lang w:val="en-CA"/>
              </w:rPr>
              <w:t>5</w:t>
            </w:r>
          </w:hyperlink>
        </w:p>
        <w:p>
          <w:pPr>
            <w:pStyle w:val="TOC3"/>
            <w:tabs>
              <w:tab w:val="clear" w:pos="720"/>
              <w:tab w:val="left" w:pos="1200" w:leader="none"/>
              <w:tab w:val="right" w:pos="9016" w:leader="dot"/>
            </w:tabs>
            <w:rPr>
              <w:lang w:val="en-CA"/>
            </w:rPr>
          </w:pPr>
          <w:r>
            <w:rPr>
              <w:lang w:val="en-CA"/>
            </w:rPr>
            <w:t>2.4.6</w:t>
            <w:tab/>
            <w:t>System Explorer</w:t>
            <w:tab/>
          </w:r>
          <w:hyperlink w:anchor="__RefHeading___Toc450095925">
            <w:r>
              <w:rPr>
                <w:rStyle w:val="IndexLink"/>
                <w:lang w:val="en-CA"/>
              </w:rPr>
              <w:t>5</w:t>
            </w:r>
          </w:hyperlink>
        </w:p>
        <w:p>
          <w:pPr>
            <w:pStyle w:val="TOC3"/>
            <w:tabs>
              <w:tab w:val="clear" w:pos="720"/>
              <w:tab w:val="left" w:pos="1200" w:leader="none"/>
              <w:tab w:val="right" w:pos="9016" w:leader="dot"/>
            </w:tabs>
            <w:rPr>
              <w:lang w:val="en-CA"/>
            </w:rPr>
          </w:pPr>
          <w:r>
            <w:rPr>
              <w:lang w:val="en-CA"/>
            </w:rPr>
            <w:t>2.4.7</w:t>
            <w:tab/>
            <w:t>Price Viewer</w:t>
            <w:tab/>
          </w:r>
          <w:hyperlink w:anchor="__RefHeading___Toc450095926">
            <w:r>
              <w:rPr>
                <w:rStyle w:val="IndexLink"/>
                <w:lang w:val="en-CA"/>
              </w:rPr>
              <w:t>5</w:t>
            </w:r>
          </w:hyperlink>
        </w:p>
        <w:p>
          <w:pPr>
            <w:pStyle w:val="TOC3"/>
            <w:tabs>
              <w:tab w:val="clear" w:pos="720"/>
              <w:tab w:val="left" w:pos="1200" w:leader="none"/>
              <w:tab w:val="right" w:pos="9016" w:leader="dot"/>
            </w:tabs>
            <w:rPr>
              <w:lang w:val="en-CA"/>
            </w:rPr>
          </w:pPr>
          <w:r>
            <w:rPr>
              <w:lang w:val="en-CA"/>
            </w:rPr>
            <w:t>2.4.8</w:t>
            <w:tab/>
            <w:t>Detail Viewer</w:t>
            <w:tab/>
          </w:r>
          <w:hyperlink w:anchor="__RefHeading___Toc450095927">
            <w:r>
              <w:rPr>
                <w:rStyle w:val="IndexLink"/>
                <w:lang w:val="en-CA"/>
              </w:rPr>
              <w:t>5</w:t>
            </w:r>
          </w:hyperlink>
        </w:p>
        <w:p>
          <w:pPr>
            <w:pStyle w:val="TOC3"/>
            <w:tabs>
              <w:tab w:val="clear" w:pos="720"/>
              <w:tab w:val="left" w:pos="1200" w:leader="none"/>
              <w:tab w:val="right" w:pos="9016" w:leader="dot"/>
            </w:tabs>
            <w:rPr>
              <w:lang w:val="en-CA"/>
            </w:rPr>
          </w:pPr>
          <w:r>
            <w:rPr>
              <w:lang w:val="en-CA"/>
            </w:rPr>
            <w:t>2.4.9</w:t>
            <w:tab/>
            <w:t>Transactor</w:t>
            <w:tab/>
          </w:r>
          <w:hyperlink w:anchor="__RefHeading___Toc450095928">
            <w:r>
              <w:rPr>
                <w:rStyle w:val="IndexLink"/>
                <w:lang w:val="en-CA"/>
              </w:rPr>
              <w:t>5</w:t>
            </w:r>
          </w:hyperlink>
        </w:p>
        <w:p>
          <w:pPr>
            <w:pStyle w:val="TOC3"/>
            <w:tabs>
              <w:tab w:val="clear" w:pos="720"/>
              <w:tab w:val="left" w:pos="1200" w:leader="none"/>
              <w:tab w:val="right" w:pos="9016" w:leader="dot"/>
            </w:tabs>
            <w:rPr>
              <w:lang w:val="en-CA"/>
            </w:rPr>
          </w:pPr>
          <w:r>
            <w:rPr>
              <w:lang w:val="en-CA"/>
            </w:rPr>
            <w:t>2.4.10</w:t>
            <w:tab/>
            <w:t>Online Acknowledgement</w:t>
            <w:tab/>
          </w:r>
          <w:hyperlink w:anchor="__RefHeading___Toc450095929">
            <w:r>
              <w:rPr>
                <w:rStyle w:val="IndexLink"/>
                <w:lang w:val="en-CA"/>
              </w:rPr>
              <w:t>5</w:t>
            </w:r>
          </w:hyperlink>
        </w:p>
        <w:p>
          <w:pPr>
            <w:pStyle w:val="TOC3"/>
            <w:tabs>
              <w:tab w:val="clear" w:pos="720"/>
              <w:tab w:val="left" w:pos="1200" w:leader="none"/>
              <w:tab w:val="right" w:pos="9016" w:leader="dot"/>
            </w:tabs>
            <w:rPr>
              <w:lang w:val="en-CA"/>
            </w:rPr>
          </w:pPr>
          <w:r>
            <w:rPr>
              <w:lang w:val="en-CA"/>
            </w:rPr>
            <w:t>2.4.11</w:t>
            <w:tab/>
            <w:t>Customer “Account” Viewer / Manager</w:t>
            <w:tab/>
          </w:r>
          <w:hyperlink w:anchor="__RefHeading___Toc450095930">
            <w:r>
              <w:rPr>
                <w:rStyle w:val="IndexLink"/>
                <w:lang w:val="en-CA"/>
              </w:rPr>
              <w:t>5</w:t>
            </w:r>
          </w:hyperlink>
        </w:p>
        <w:p>
          <w:pPr>
            <w:pStyle w:val="TOC3"/>
            <w:tabs>
              <w:tab w:val="clear" w:pos="720"/>
              <w:tab w:val="left" w:pos="1200" w:leader="none"/>
              <w:tab w:val="right" w:pos="9016" w:leader="dot"/>
            </w:tabs>
            <w:rPr>
              <w:lang w:val="en-CA"/>
            </w:rPr>
          </w:pPr>
          <w:r>
            <w:rPr>
              <w:lang w:val="en-CA"/>
            </w:rPr>
            <w:t>2.4.12</w:t>
            <w:tab/>
            <w:t>Order Manager</w:t>
            <w:tab/>
          </w:r>
          <w:hyperlink w:anchor="__RefHeading___Toc450095931">
            <w:r>
              <w:rPr>
                <w:rStyle w:val="IndexLink"/>
                <w:lang w:val="en-CA"/>
              </w:rPr>
              <w:t>5</w:t>
            </w:r>
          </w:hyperlink>
        </w:p>
        <w:p>
          <w:pPr>
            <w:pStyle w:val="TOC3"/>
            <w:tabs>
              <w:tab w:val="clear" w:pos="720"/>
              <w:tab w:val="left" w:pos="1200" w:leader="none"/>
              <w:tab w:val="right" w:pos="9016" w:leader="dot"/>
            </w:tabs>
            <w:rPr>
              <w:lang w:val="en-CA"/>
            </w:rPr>
          </w:pPr>
          <w:r>
            <w:rPr>
              <w:lang w:val="en-CA"/>
            </w:rPr>
            <w:t>2.4.13</w:t>
            <w:tab/>
            <w:t>News Viewer</w:t>
            <w:tab/>
          </w:r>
          <w:hyperlink w:anchor="__RefHeading___Toc450095932">
            <w:r>
              <w:rPr>
                <w:rStyle w:val="IndexLink"/>
                <w:lang w:val="en-CA"/>
              </w:rPr>
              <w:t>6</w:t>
            </w:r>
          </w:hyperlink>
        </w:p>
        <w:p>
          <w:pPr>
            <w:pStyle w:val="TOC3"/>
            <w:tabs>
              <w:tab w:val="clear" w:pos="720"/>
              <w:tab w:val="left" w:pos="1200" w:leader="none"/>
              <w:tab w:val="right" w:pos="9016" w:leader="dot"/>
            </w:tabs>
            <w:rPr>
              <w:lang w:val="en-CA"/>
            </w:rPr>
          </w:pPr>
          <w:r>
            <w:rPr>
              <w:lang w:val="en-CA"/>
            </w:rPr>
            <w:t>2.4.14</w:t>
            <w:tab/>
            <w:t>Price Ticker</w:t>
            <w:tab/>
          </w:r>
          <w:hyperlink w:anchor="__RefHeading___Toc450095933">
            <w:r>
              <w:rPr>
                <w:rStyle w:val="IndexLink"/>
                <w:lang w:val="en-CA"/>
              </w:rPr>
              <w:t>6</w:t>
            </w:r>
          </w:hyperlink>
        </w:p>
        <w:p>
          <w:pPr>
            <w:pStyle w:val="TOC3"/>
            <w:tabs>
              <w:tab w:val="clear" w:pos="720"/>
              <w:tab w:val="left" w:pos="1200" w:leader="none"/>
              <w:tab w:val="right" w:pos="9016" w:leader="dot"/>
            </w:tabs>
            <w:rPr>
              <w:lang w:val="en-CA"/>
            </w:rPr>
          </w:pPr>
          <w:r>
            <w:rPr>
              <w:lang w:val="en-CA"/>
            </w:rPr>
            <w:t>2.4.15</w:t>
            <w:tab/>
            <w:t>Trading Tools</w:t>
            <w:tab/>
          </w:r>
          <w:hyperlink w:anchor="__RefHeading___Toc450095934">
            <w:r>
              <w:rPr>
                <w:rStyle w:val="IndexLink"/>
                <w:lang w:val="en-CA"/>
              </w:rPr>
              <w:t>6</w:t>
            </w:r>
          </w:hyperlink>
        </w:p>
        <w:p>
          <w:pPr>
            <w:pStyle w:val="TOC3"/>
            <w:tabs>
              <w:tab w:val="clear" w:pos="720"/>
              <w:tab w:val="left" w:pos="1200" w:leader="none"/>
              <w:tab w:val="right" w:pos="9016" w:leader="dot"/>
            </w:tabs>
            <w:rPr>
              <w:lang w:val="en-CA"/>
            </w:rPr>
          </w:pPr>
          <w:r>
            <w:rPr>
              <w:lang w:val="en-CA"/>
            </w:rPr>
            <w:t>2.4.16</w:t>
            <w:tab/>
            <w:t>Contact List / Links Page</w:t>
            <w:tab/>
          </w:r>
          <w:hyperlink w:anchor="__RefHeading___Toc450095935">
            <w:r>
              <w:rPr>
                <w:rStyle w:val="IndexLink"/>
                <w:lang w:val="en-CA"/>
              </w:rPr>
              <w:t>6</w:t>
            </w:r>
          </w:hyperlink>
        </w:p>
        <w:p>
          <w:pPr>
            <w:pStyle w:val="TOC3"/>
            <w:tabs>
              <w:tab w:val="clear" w:pos="720"/>
              <w:tab w:val="left" w:pos="1200" w:leader="none"/>
              <w:tab w:val="right" w:pos="9016" w:leader="dot"/>
            </w:tabs>
            <w:rPr>
              <w:lang w:val="en-CA"/>
            </w:rPr>
          </w:pPr>
          <w:r>
            <w:rPr>
              <w:lang w:val="en-CA"/>
            </w:rPr>
            <w:t>2.4.17</w:t>
            <w:tab/>
            <w:t>Online Trading Help</w:t>
            <w:tab/>
          </w:r>
          <w:hyperlink w:anchor="__RefHeading___Toc450095936">
            <w:r>
              <w:rPr>
                <w:rStyle w:val="IndexLink"/>
                <w:lang w:val="en-CA"/>
              </w:rPr>
              <w:t>6</w:t>
            </w:r>
          </w:hyperlink>
        </w:p>
        <w:p>
          <w:pPr>
            <w:pStyle w:val="TOC2"/>
            <w:tabs>
              <w:tab w:val="left" w:pos="800" w:leader="none"/>
              <w:tab w:val="right" w:pos="9016" w:leader="dot"/>
            </w:tabs>
            <w:rPr/>
          </w:pPr>
          <w:r>
            <w:rPr/>
            <w:t>2.5</w:t>
            <w:tab/>
            <w:t>Requirements – Enron View</w:t>
            <w:tab/>
          </w:r>
          <w:hyperlink w:anchor="__RefHeading___Toc450095937">
            <w:r>
              <w:rPr>
                <w:rStyle w:val="IndexLink"/>
              </w:rPr>
              <w:t>6</w:t>
            </w:r>
          </w:hyperlink>
        </w:p>
        <w:p>
          <w:pPr>
            <w:pStyle w:val="TOC3"/>
            <w:tabs>
              <w:tab w:val="clear" w:pos="720"/>
              <w:tab w:val="left" w:pos="1200" w:leader="none"/>
              <w:tab w:val="right" w:pos="9016" w:leader="dot"/>
            </w:tabs>
            <w:rPr>
              <w:lang w:val="en-CA"/>
            </w:rPr>
          </w:pPr>
          <w:r>
            <w:rPr>
              <w:lang w:val="en-CA"/>
            </w:rPr>
            <w:t>2.5.1</w:t>
            <w:tab/>
            <w:t>Enron Customer Maintenance</w:t>
            <w:tab/>
          </w:r>
          <w:hyperlink w:anchor="__RefHeading___Toc450095938">
            <w:r>
              <w:rPr>
                <w:rStyle w:val="IndexLink"/>
                <w:lang w:val="en-CA"/>
              </w:rPr>
              <w:t>6</w:t>
            </w:r>
          </w:hyperlink>
        </w:p>
        <w:p>
          <w:pPr>
            <w:pStyle w:val="TOC3"/>
            <w:tabs>
              <w:tab w:val="clear" w:pos="720"/>
              <w:tab w:val="left" w:pos="1200" w:leader="none"/>
              <w:tab w:val="right" w:pos="9016" w:leader="dot"/>
            </w:tabs>
            <w:rPr>
              <w:lang w:val="en-CA"/>
            </w:rPr>
          </w:pPr>
          <w:r>
            <w:rPr>
              <w:lang w:val="en-CA"/>
            </w:rPr>
            <w:t>2.5.2</w:t>
            <w:tab/>
            <w:t>Enron Product Manager</w:t>
            <w:tab/>
          </w:r>
          <w:hyperlink w:anchor="__RefHeading___Toc450095939">
            <w:r>
              <w:rPr>
                <w:rStyle w:val="IndexLink"/>
                <w:lang w:val="en-CA"/>
              </w:rPr>
              <w:t>6</w:t>
            </w:r>
          </w:hyperlink>
        </w:p>
        <w:p>
          <w:pPr>
            <w:pStyle w:val="TOC3"/>
            <w:tabs>
              <w:tab w:val="clear" w:pos="720"/>
              <w:tab w:val="left" w:pos="1200" w:leader="none"/>
              <w:tab w:val="right" w:pos="9016" w:leader="dot"/>
            </w:tabs>
            <w:rPr>
              <w:lang w:val="en-CA"/>
            </w:rPr>
          </w:pPr>
          <w:r>
            <w:rPr>
              <w:lang w:val="en-CA"/>
            </w:rPr>
            <w:t>2.5.3</w:t>
            <w:tab/>
            <w:t>Region Maintenance</w:t>
            <w:tab/>
          </w:r>
          <w:hyperlink w:anchor="__RefHeading___Toc450095940">
            <w:r>
              <w:rPr>
                <w:rStyle w:val="IndexLink"/>
                <w:lang w:val="en-CA"/>
              </w:rPr>
              <w:t>6</w:t>
            </w:r>
          </w:hyperlink>
        </w:p>
        <w:p>
          <w:pPr>
            <w:pStyle w:val="TOC3"/>
            <w:tabs>
              <w:tab w:val="clear" w:pos="720"/>
              <w:tab w:val="left" w:pos="1200" w:leader="none"/>
              <w:tab w:val="right" w:pos="9016" w:leader="dot"/>
            </w:tabs>
            <w:rPr>
              <w:lang w:val="en-CA"/>
            </w:rPr>
          </w:pPr>
          <w:r>
            <w:rPr>
              <w:lang w:val="en-CA"/>
            </w:rPr>
            <w:t>2.5.4</w:t>
            <w:tab/>
            <w:t>Price Publisher</w:t>
            <w:tab/>
          </w:r>
          <w:hyperlink w:anchor="__RefHeading___Toc450095941">
            <w:r>
              <w:rPr>
                <w:rStyle w:val="IndexLink"/>
                <w:lang w:val="en-CA"/>
              </w:rPr>
              <w:t>6</w:t>
            </w:r>
          </w:hyperlink>
        </w:p>
        <w:p>
          <w:pPr>
            <w:pStyle w:val="TOC3"/>
            <w:tabs>
              <w:tab w:val="clear" w:pos="720"/>
              <w:tab w:val="left" w:pos="1200" w:leader="none"/>
              <w:tab w:val="right" w:pos="9016" w:leader="dot"/>
            </w:tabs>
            <w:rPr>
              <w:lang w:val="en-CA"/>
            </w:rPr>
          </w:pPr>
          <w:r>
            <w:rPr>
              <w:lang w:val="en-CA"/>
            </w:rPr>
            <w:t>2.5.5</w:t>
            <w:tab/>
            <w:t>Transaction Authorization</w:t>
            <w:tab/>
          </w:r>
          <w:hyperlink w:anchor="__RefHeading___Toc450095942">
            <w:r>
              <w:rPr>
                <w:rStyle w:val="IndexLink"/>
                <w:lang w:val="en-CA"/>
              </w:rPr>
              <w:t>7</w:t>
            </w:r>
          </w:hyperlink>
        </w:p>
        <w:p>
          <w:pPr>
            <w:pStyle w:val="TOC3"/>
            <w:tabs>
              <w:tab w:val="clear" w:pos="720"/>
              <w:tab w:val="left" w:pos="1200" w:leader="none"/>
              <w:tab w:val="right" w:pos="9016" w:leader="dot"/>
            </w:tabs>
            <w:rPr>
              <w:lang w:val="en-CA"/>
            </w:rPr>
          </w:pPr>
          <w:r>
            <w:rPr>
              <w:lang w:val="en-CA"/>
            </w:rPr>
            <w:t>2.5.6</w:t>
            <w:tab/>
            <w:t>Auto-Transaction Filler</w:t>
            <w:tab/>
          </w:r>
          <w:hyperlink w:anchor="__RefHeading___Toc450095943">
            <w:r>
              <w:rPr>
                <w:rStyle w:val="IndexLink"/>
                <w:lang w:val="en-CA"/>
              </w:rPr>
              <w:t>7</w:t>
            </w:r>
          </w:hyperlink>
        </w:p>
        <w:p>
          <w:pPr>
            <w:pStyle w:val="TOC3"/>
            <w:tabs>
              <w:tab w:val="clear" w:pos="720"/>
              <w:tab w:val="left" w:pos="1200" w:leader="none"/>
              <w:tab w:val="right" w:pos="9016" w:leader="dot"/>
            </w:tabs>
            <w:rPr>
              <w:lang w:val="en-CA"/>
            </w:rPr>
          </w:pPr>
          <w:r>
            <w:rPr>
              <w:lang w:val="en-CA"/>
            </w:rPr>
            <w:t>2.5.7</w:t>
            <w:tab/>
            <w:t>FX Conversion</w:t>
            <w:tab/>
          </w:r>
          <w:hyperlink w:anchor="__RefHeading___Toc450095944">
            <w:r>
              <w:rPr>
                <w:rStyle w:val="IndexLink"/>
                <w:lang w:val="en-CA"/>
              </w:rPr>
              <w:t>7</w:t>
            </w:r>
          </w:hyperlink>
        </w:p>
        <w:p>
          <w:pPr>
            <w:pStyle w:val="TOC3"/>
            <w:tabs>
              <w:tab w:val="clear" w:pos="720"/>
              <w:tab w:val="left" w:pos="1200" w:leader="none"/>
              <w:tab w:val="right" w:pos="9016" w:leader="dot"/>
            </w:tabs>
            <w:rPr>
              <w:lang w:val="en-CA"/>
            </w:rPr>
          </w:pPr>
          <w:r>
            <w:rPr>
              <w:lang w:val="en-CA"/>
            </w:rPr>
            <w:t>2.5.8</w:t>
            <w:tab/>
            <w:t>Management Reporting</w:t>
            <w:tab/>
          </w:r>
          <w:hyperlink w:anchor="__RefHeading___Toc450095945">
            <w:r>
              <w:rPr>
                <w:rStyle w:val="IndexLink"/>
                <w:lang w:val="en-CA"/>
              </w:rPr>
              <w:t>7</w:t>
            </w:r>
          </w:hyperlink>
        </w:p>
        <w:p>
          <w:pPr>
            <w:pStyle w:val="TOC3"/>
            <w:tabs>
              <w:tab w:val="clear" w:pos="720"/>
              <w:tab w:val="left" w:pos="1200" w:leader="none"/>
              <w:tab w:val="right" w:pos="9016" w:leader="dot"/>
            </w:tabs>
            <w:rPr>
              <w:lang w:val="en-CA"/>
            </w:rPr>
          </w:pPr>
          <w:r>
            <w:rPr>
              <w:lang w:val="en-CA"/>
            </w:rPr>
            <w:t>2.5.9</w:t>
            <w:tab/>
            <w:t>Enron Trading Book Feeds</w:t>
            <w:tab/>
          </w:r>
          <w:hyperlink w:anchor="__RefHeading___Toc450095946">
            <w:r>
              <w:rPr>
                <w:rStyle w:val="IndexLink"/>
                <w:lang w:val="en-CA"/>
              </w:rPr>
              <w:t>7</w:t>
            </w:r>
          </w:hyperlink>
        </w:p>
        <w:p>
          <w:pPr>
            <w:pStyle w:val="TOC2"/>
            <w:tabs>
              <w:tab w:val="left" w:pos="800" w:leader="none"/>
              <w:tab w:val="right" w:pos="9016" w:leader="dot"/>
            </w:tabs>
            <w:rPr/>
          </w:pPr>
          <w:r>
            <w:rPr/>
            <w:t>2.6</w:t>
            <w:tab/>
            <w:t>System Performance</w:t>
            <w:tab/>
          </w:r>
          <w:hyperlink w:anchor="__RefHeading___Toc450095947">
            <w:r>
              <w:rPr>
                <w:rStyle w:val="IndexLink"/>
              </w:rPr>
              <w:t>7</w:t>
            </w:r>
          </w:hyperlink>
        </w:p>
        <w:p>
          <w:pPr>
            <w:pStyle w:val="TOC3"/>
            <w:tabs>
              <w:tab w:val="clear" w:pos="720"/>
              <w:tab w:val="left" w:pos="1200" w:leader="none"/>
              <w:tab w:val="right" w:pos="9016" w:leader="dot"/>
            </w:tabs>
            <w:rPr>
              <w:lang w:val="en-CA"/>
            </w:rPr>
          </w:pPr>
          <w:r>
            <w:rPr>
              <w:lang w:val="en-CA"/>
            </w:rPr>
            <w:t>2.6.1</w:t>
            <w:tab/>
            <w:t>Security</w:t>
            <w:tab/>
          </w:r>
          <w:hyperlink w:anchor="__RefHeading___Toc450095948">
            <w:r>
              <w:rPr>
                <w:rStyle w:val="IndexLink"/>
                <w:lang w:val="en-CA"/>
              </w:rPr>
              <w:t>7</w:t>
            </w:r>
          </w:hyperlink>
        </w:p>
        <w:p>
          <w:pPr>
            <w:pStyle w:val="TOC3"/>
            <w:tabs>
              <w:tab w:val="clear" w:pos="720"/>
              <w:tab w:val="left" w:pos="1200" w:leader="none"/>
              <w:tab w:val="right" w:pos="9016" w:leader="dot"/>
            </w:tabs>
            <w:rPr>
              <w:lang w:val="en-CA"/>
            </w:rPr>
          </w:pPr>
          <w:r>
            <w:rPr>
              <w:lang w:val="en-CA"/>
            </w:rPr>
            <w:t>2.6.2</w:t>
            <w:tab/>
            <w:t>Scalability</w:t>
            <w:tab/>
          </w:r>
          <w:hyperlink w:anchor="__RefHeading___Toc450095949">
            <w:r>
              <w:rPr>
                <w:rStyle w:val="IndexLink"/>
                <w:lang w:val="en-CA"/>
              </w:rPr>
              <w:t>7</w:t>
            </w:r>
          </w:hyperlink>
        </w:p>
        <w:p>
          <w:pPr>
            <w:pStyle w:val="TOC3"/>
            <w:tabs>
              <w:tab w:val="clear" w:pos="720"/>
              <w:tab w:val="left" w:pos="1200" w:leader="none"/>
              <w:tab w:val="right" w:pos="9016" w:leader="dot"/>
            </w:tabs>
            <w:rPr>
              <w:lang w:val="en-CA"/>
            </w:rPr>
          </w:pPr>
          <w:r>
            <w:rPr>
              <w:lang w:val="en-CA"/>
            </w:rPr>
            <w:t>2.6.3</w:t>
            <w:tab/>
            <w:t>Response Times</w:t>
            <w:tab/>
          </w:r>
          <w:hyperlink w:anchor="__RefHeading___Toc450095950">
            <w:r>
              <w:rPr>
                <w:rStyle w:val="IndexLink"/>
                <w:lang w:val="en-CA"/>
              </w:rPr>
              <w:t>7</w:t>
            </w:r>
          </w:hyperlink>
        </w:p>
        <w:p>
          <w:pPr>
            <w:pStyle w:val="TOC3"/>
            <w:tabs>
              <w:tab w:val="clear" w:pos="720"/>
              <w:tab w:val="left" w:pos="1200" w:leader="none"/>
              <w:tab w:val="right" w:pos="9016" w:leader="dot"/>
            </w:tabs>
            <w:rPr>
              <w:lang w:val="en-CA"/>
            </w:rPr>
          </w:pPr>
          <w:r>
            <w:rPr>
              <w:lang w:val="en-CA"/>
            </w:rPr>
            <w:t>2.6.4</w:t>
            <w:tab/>
            <w:t>Look and Feel</w:t>
            <w:tab/>
          </w:r>
          <w:hyperlink w:anchor="__RefHeading___Toc450095951">
            <w:r>
              <w:rPr>
                <w:rStyle w:val="IndexLink"/>
                <w:lang w:val="en-CA"/>
              </w:rPr>
              <w:t>7</w:t>
            </w:r>
          </w:hyperlink>
        </w:p>
        <w:p>
          <w:pPr>
            <w:pStyle w:val="TOC3"/>
            <w:tabs>
              <w:tab w:val="clear" w:pos="720"/>
              <w:tab w:val="left" w:pos="1200" w:leader="none"/>
              <w:tab w:val="right" w:pos="9016" w:leader="dot"/>
            </w:tabs>
            <w:rPr>
              <w:lang w:val="en-CA"/>
            </w:rPr>
          </w:pPr>
          <w:r>
            <w:rPr>
              <w:lang w:val="en-CA"/>
            </w:rPr>
            <w:t>2.6.5</w:t>
            <w:tab/>
            <w:t>Multi-User Considerations</w:t>
            <w:tab/>
          </w:r>
          <w:hyperlink w:anchor="__RefHeading___Toc450095952">
            <w:r>
              <w:rPr>
                <w:rStyle w:val="IndexLink"/>
                <w:lang w:val="en-CA"/>
              </w:rPr>
              <w:t>7</w:t>
            </w:r>
          </w:hyperlink>
        </w:p>
        <w:p>
          <w:pPr>
            <w:pStyle w:val="TOC3"/>
            <w:tabs>
              <w:tab w:val="clear" w:pos="720"/>
              <w:tab w:val="left" w:pos="1200" w:leader="none"/>
              <w:tab w:val="right" w:pos="9016" w:leader="dot"/>
            </w:tabs>
            <w:rPr>
              <w:lang w:val="en-CA"/>
            </w:rPr>
          </w:pPr>
          <w:r>
            <w:rPr>
              <w:lang w:val="en-CA"/>
            </w:rPr>
            <w:t>2.6.6</w:t>
            <w:tab/>
            <w:t>Usage Statistics</w:t>
            <w:tab/>
          </w:r>
          <w:hyperlink w:anchor="__RefHeading___Toc450095953">
            <w:r>
              <w:rPr>
                <w:rStyle w:val="IndexLink"/>
                <w:lang w:val="en-CA"/>
              </w:rPr>
              <w:t>7</w:t>
            </w:r>
          </w:hyperlink>
        </w:p>
        <w:p>
          <w:pPr>
            <w:pStyle w:val="TOC1"/>
            <w:tabs>
              <w:tab w:val="left" w:pos="400" w:leader="none"/>
              <w:tab w:val="right" w:pos="9016" w:leader="dot"/>
            </w:tabs>
            <w:rPr/>
          </w:pPr>
          <w:r>
            <w:rPr/>
            <w:t>3</w:t>
            <w:tab/>
            <w:t>Project Sponsors</w:t>
            <w:tab/>
          </w:r>
          <w:hyperlink w:anchor="__RefHeading___Toc450095954">
            <w:r>
              <w:rPr>
                <w:rStyle w:val="IndexLink"/>
              </w:rPr>
              <w:t>8</w:t>
            </w:r>
          </w:hyperlink>
        </w:p>
        <w:p>
          <w:pPr>
            <w:pStyle w:val="TOC1"/>
            <w:tabs>
              <w:tab w:val="left" w:pos="400" w:leader="none"/>
              <w:tab w:val="right" w:pos="9016" w:leader="dot"/>
            </w:tabs>
            <w:rPr/>
          </w:pPr>
          <w:r>
            <w:rPr/>
            <w:t>4</w:t>
            <w:tab/>
            <w:t>Team Roles &amp; Responsibilities</w:t>
            <w:tab/>
          </w:r>
          <w:hyperlink w:anchor="__RefHeading___Toc450095955">
            <w:r>
              <w:rPr>
                <w:rStyle w:val="IndexLink"/>
              </w:rPr>
              <w:t>9</w:t>
            </w:r>
          </w:hyperlink>
        </w:p>
        <w:p>
          <w:pPr>
            <w:pStyle w:val="TOC2"/>
            <w:tabs>
              <w:tab w:val="left" w:pos="800" w:leader="none"/>
              <w:tab w:val="right" w:pos="9016" w:leader="dot"/>
            </w:tabs>
            <w:rPr/>
          </w:pPr>
          <w:r>
            <w:rPr/>
            <w:t>4.1</w:t>
            <w:tab/>
            <w:t>Click-Trading Specification Group (London)</w:t>
            <w:tab/>
          </w:r>
          <w:hyperlink w:anchor="__RefHeading___Toc450095956">
            <w:r>
              <w:rPr>
                <w:rStyle w:val="IndexLink"/>
              </w:rPr>
              <w:t>9</w:t>
            </w:r>
          </w:hyperlink>
        </w:p>
        <w:p>
          <w:pPr>
            <w:pStyle w:val="TOC1"/>
            <w:tabs>
              <w:tab w:val="left" w:pos="400" w:leader="none"/>
              <w:tab w:val="right" w:pos="9016" w:leader="dot"/>
            </w:tabs>
            <w:rPr/>
          </w:pPr>
          <w:r>
            <w:rPr/>
            <w:t>5</w:t>
            <w:tab/>
            <w:t>Document History</w:t>
            <w:tab/>
          </w:r>
          <w:hyperlink w:anchor="__RefHeading___Toc450095957">
            <w:r>
              <w:rPr>
                <w:rStyle w:val="IndexLink"/>
              </w:rPr>
              <w:t>10</w:t>
            </w:r>
          </w:hyperlink>
          <w:r>
            <w:rPr>
              <w:rStyle w:val="IndexLink"/>
            </w:rPr>
            <w:fldChar w:fldCharType="end"/>
          </w:r>
        </w:p>
      </w:sdtContent>
    </w:sdt>
    <w:p>
      <w:pPr>
        <w:pStyle w:val="Normal"/>
        <w:rPr>
          <w:b/>
          <w:caps/>
        </w:rPr>
      </w:pPr>
      <w:r>
        <w:rPr>
          <w:b/>
          <w:caps/>
        </w:rPr>
      </w:r>
    </w:p>
    <w:p>
      <w:pPr>
        <w:pStyle w:val="Heading1"/>
        <w:rPr/>
      </w:pPr>
      <w:bookmarkStart w:id="0" w:name="__RefHeading___Toc450095914"/>
      <w:bookmarkEnd w:id="0"/>
      <w:r>
        <w:rPr/>
        <w:t>Introduction</w:t>
      </w:r>
    </w:p>
    <w:p>
      <w:pPr>
        <w:pStyle w:val="Normal"/>
        <w:rPr/>
      </w:pPr>
      <w:r>
        <w:rPr/>
        <w:t xml:space="preserve">Enron has identified an opportunity to increase shareholder value through the provision of online trading services in the marketplace. </w:t>
      </w:r>
    </w:p>
    <w:p>
      <w:pPr>
        <w:pStyle w:val="Normal"/>
        <w:rPr/>
      </w:pPr>
      <w:r>
        <w:rPr/>
      </w:r>
    </w:p>
    <w:p>
      <w:pPr>
        <w:pStyle w:val="Normal"/>
        <w:rPr/>
      </w:pPr>
      <w:r>
        <w:rPr/>
        <w:t>The vision is of:</w:t>
      </w:r>
    </w:p>
    <w:p>
      <w:pPr>
        <w:pStyle w:val="Normal"/>
        <w:rPr/>
      </w:pPr>
      <w:r>
        <w:rPr/>
      </w:r>
    </w:p>
    <w:p>
      <w:pPr>
        <w:pStyle w:val="BodyText2"/>
        <w:jc w:val="center"/>
        <w:rPr>
          <w:b/>
        </w:rPr>
      </w:pPr>
      <w:r>
        <w:rPr>
          <w:b/>
        </w:rPr>
        <w:t>“</w:t>
      </w:r>
      <w:r>
        <w:rPr>
          <w:b/>
        </w:rPr>
        <w:t>A secure, Internet – based system offering global access to trade all energy commodities with Enron – a one-stop shop for energy trading needs”</w:t>
      </w:r>
    </w:p>
    <w:p>
      <w:pPr>
        <w:pStyle w:val="Normal"/>
        <w:rPr>
          <w:b/>
        </w:rPr>
      </w:pPr>
      <w:r>
        <w:rPr>
          <w:b/>
        </w:rPr>
      </w:r>
    </w:p>
    <w:p>
      <w:pPr>
        <w:pStyle w:val="Normal"/>
        <w:rPr/>
      </w:pPr>
      <w:r>
        <w:rPr/>
        <w:t>Key attributes of the product will be that it:</w:t>
      </w:r>
    </w:p>
    <w:p>
      <w:pPr>
        <w:pStyle w:val="Normal"/>
        <w:rPr/>
      </w:pPr>
      <w:r>
        <w:rPr/>
      </w:r>
    </w:p>
    <w:p>
      <w:pPr>
        <w:pStyle w:val="Normal"/>
        <w:numPr>
          <w:ilvl w:val="0"/>
          <w:numId w:val="3"/>
        </w:numPr>
        <w:tabs>
          <w:tab w:val="left" w:pos="720" w:leader="none"/>
        </w:tabs>
        <w:ind w:hanging="360" w:start="720" w:end="0"/>
        <w:jc w:val="both"/>
        <w:rPr/>
      </w:pPr>
      <w:r>
        <w:rPr/>
        <w:t>Supports on – line registration and authorisation taking into account Enron’s usual pre-trading due diligence;</w:t>
      </w:r>
    </w:p>
    <w:p>
      <w:pPr>
        <w:pStyle w:val="Normal"/>
        <w:ind w:start="360" w:end="0"/>
        <w:jc w:val="both"/>
        <w:rPr/>
      </w:pPr>
      <w:r>
        <w:rPr/>
      </w:r>
    </w:p>
    <w:p>
      <w:pPr>
        <w:pStyle w:val="Normal"/>
        <w:numPr>
          <w:ilvl w:val="0"/>
          <w:numId w:val="3"/>
        </w:numPr>
        <w:tabs>
          <w:tab w:val="left" w:pos="720" w:leader="none"/>
        </w:tabs>
        <w:ind w:hanging="360" w:start="720" w:end="0"/>
        <w:jc w:val="both"/>
        <w:rPr/>
      </w:pPr>
      <w:r>
        <w:rPr/>
        <w:t>Permits subscribers to register additional users according to their own specific criteria;</w:t>
      </w:r>
    </w:p>
    <w:p>
      <w:pPr>
        <w:pStyle w:val="Normal"/>
        <w:ind w:start="360" w:end="0"/>
        <w:jc w:val="both"/>
        <w:rPr/>
      </w:pPr>
      <w:r>
        <w:rPr/>
      </w:r>
    </w:p>
    <w:p>
      <w:pPr>
        <w:pStyle w:val="Normal"/>
        <w:numPr>
          <w:ilvl w:val="0"/>
          <w:numId w:val="3"/>
        </w:numPr>
        <w:tabs>
          <w:tab w:val="left" w:pos="720" w:leader="none"/>
        </w:tabs>
        <w:ind w:hanging="360" w:start="720" w:end="0"/>
        <w:jc w:val="both"/>
        <w:rPr/>
      </w:pPr>
      <w:r>
        <w:rPr/>
        <w:t xml:space="preserve">Allows subscribers to view Enron quoted bid and offer prices, for standard contract quantities in real time; </w:t>
      </w:r>
    </w:p>
    <w:p>
      <w:pPr>
        <w:pStyle w:val="Normal"/>
        <w:ind w:start="360" w:end="0"/>
        <w:jc w:val="both"/>
        <w:rPr/>
      </w:pPr>
      <w:r>
        <w:rPr/>
      </w:r>
    </w:p>
    <w:p>
      <w:pPr>
        <w:pStyle w:val="Normal"/>
        <w:numPr>
          <w:ilvl w:val="0"/>
          <w:numId w:val="3"/>
        </w:numPr>
        <w:tabs>
          <w:tab w:val="left" w:pos="720" w:leader="none"/>
        </w:tabs>
        <w:ind w:hanging="360" w:start="720" w:end="0"/>
        <w:jc w:val="both"/>
        <w:rPr/>
      </w:pPr>
      <w:r>
        <w:rPr/>
        <w:t>Supports user-customisation of quote information (“composites”);</w:t>
      </w:r>
    </w:p>
    <w:p>
      <w:pPr>
        <w:pStyle w:val="Normal"/>
        <w:jc w:val="both"/>
        <w:rPr/>
      </w:pPr>
      <w:r>
        <w:rPr/>
      </w:r>
    </w:p>
    <w:p>
      <w:pPr>
        <w:pStyle w:val="Normal"/>
        <w:numPr>
          <w:ilvl w:val="0"/>
          <w:numId w:val="3"/>
        </w:numPr>
        <w:tabs>
          <w:tab w:val="left" w:pos="720" w:leader="none"/>
        </w:tabs>
        <w:ind w:hanging="360" w:start="720" w:end="0"/>
        <w:jc w:val="both"/>
        <w:rPr/>
      </w:pPr>
      <w:r>
        <w:rPr/>
        <w:t>Displays Enron published energy news items in real time – subsequent releases may transmit broadcast information from other information providers;</w:t>
      </w:r>
    </w:p>
    <w:p>
      <w:pPr>
        <w:pStyle w:val="Normal"/>
        <w:ind w:start="360" w:end="0"/>
        <w:jc w:val="both"/>
        <w:rPr/>
      </w:pPr>
      <w:r>
        <w:rPr/>
      </w:r>
    </w:p>
    <w:p>
      <w:pPr>
        <w:pStyle w:val="Normal"/>
        <w:numPr>
          <w:ilvl w:val="0"/>
          <w:numId w:val="3"/>
        </w:numPr>
        <w:tabs>
          <w:tab w:val="left" w:pos="720" w:leader="none"/>
        </w:tabs>
        <w:ind w:hanging="360" w:start="720" w:end="0"/>
        <w:jc w:val="both"/>
        <w:rPr/>
      </w:pPr>
      <w:r>
        <w:rPr/>
        <w:t>Allows subscribers to execute remotely, standard energy and commodity contracts with Enron in a currency and geographical location of their choice (option prices will be published in a single currency);</w:t>
      </w:r>
    </w:p>
    <w:p>
      <w:pPr>
        <w:pStyle w:val="Normal"/>
        <w:ind w:start="360" w:end="0"/>
        <w:jc w:val="both"/>
        <w:rPr/>
      </w:pPr>
      <w:r>
        <w:rPr/>
      </w:r>
    </w:p>
    <w:p>
      <w:pPr>
        <w:pStyle w:val="Normal"/>
        <w:numPr>
          <w:ilvl w:val="0"/>
          <w:numId w:val="3"/>
        </w:numPr>
        <w:tabs>
          <w:tab w:val="left" w:pos="720" w:leader="none"/>
        </w:tabs>
        <w:ind w:hanging="360" w:start="720" w:end="0"/>
        <w:jc w:val="both"/>
        <w:rPr/>
      </w:pPr>
      <w:r>
        <w:rPr/>
        <w:t>Acts as a “broker”, accepting specific customer orders;</w:t>
      </w:r>
    </w:p>
    <w:p>
      <w:pPr>
        <w:pStyle w:val="Normal"/>
        <w:ind w:start="360" w:end="0"/>
        <w:jc w:val="both"/>
        <w:rPr/>
      </w:pPr>
      <w:r>
        <w:rPr/>
      </w:r>
    </w:p>
    <w:p>
      <w:pPr>
        <w:pStyle w:val="Normal"/>
        <w:numPr>
          <w:ilvl w:val="0"/>
          <w:numId w:val="3"/>
        </w:numPr>
        <w:tabs>
          <w:tab w:val="left" w:pos="720" w:leader="none"/>
        </w:tabs>
        <w:ind w:hanging="360" w:start="720" w:end="0"/>
        <w:jc w:val="both"/>
        <w:rPr/>
      </w:pPr>
      <w:r>
        <w:rPr/>
        <w:t>Allows users to view their own account status in a currency of their choice;</w:t>
      </w:r>
    </w:p>
    <w:p>
      <w:pPr>
        <w:pStyle w:val="Normal"/>
        <w:ind w:start="360" w:end="0"/>
        <w:jc w:val="both"/>
        <w:rPr/>
      </w:pPr>
      <w:r>
        <w:rPr/>
      </w:r>
    </w:p>
    <w:p>
      <w:pPr>
        <w:pStyle w:val="Normal"/>
        <w:numPr>
          <w:ilvl w:val="0"/>
          <w:numId w:val="3"/>
        </w:numPr>
        <w:tabs>
          <w:tab w:val="left" w:pos="720" w:leader="none"/>
        </w:tabs>
        <w:ind w:hanging="360" w:start="720" w:end="0"/>
        <w:jc w:val="both"/>
        <w:rPr/>
      </w:pPr>
      <w:r>
        <w:rPr/>
        <w:t>Is multi – lingual;</w:t>
      </w:r>
    </w:p>
    <w:p>
      <w:pPr>
        <w:pStyle w:val="Normal"/>
        <w:jc w:val="both"/>
        <w:rPr/>
      </w:pPr>
      <w:r>
        <w:rPr/>
      </w:r>
    </w:p>
    <w:p>
      <w:pPr>
        <w:pStyle w:val="Normal"/>
        <w:numPr>
          <w:ilvl w:val="0"/>
          <w:numId w:val="3"/>
        </w:numPr>
        <w:tabs>
          <w:tab w:val="left" w:pos="720" w:leader="none"/>
        </w:tabs>
        <w:ind w:hanging="360" w:start="720" w:end="0"/>
        <w:jc w:val="both"/>
        <w:rPr/>
      </w:pPr>
      <w:r>
        <w:rPr/>
        <w:t>Subjects transaction to Enron’s usual internal controls vis – a – vis market and credit risk and documentation</w:t>
      </w:r>
    </w:p>
    <w:p>
      <w:pPr>
        <w:pStyle w:val="Normal"/>
        <w:rPr/>
      </w:pPr>
      <w:r>
        <w:rPr/>
      </w:r>
    </w:p>
    <w:p>
      <w:pPr>
        <w:pStyle w:val="Heading1"/>
        <w:rPr/>
      </w:pPr>
      <w:bookmarkStart w:id="1" w:name="__RefHeading___Toc450095915"/>
      <w:bookmarkEnd w:id="1"/>
      <w:r>
        <w:rPr/>
        <w:t>Statement of Requirements</w:t>
      </w:r>
    </w:p>
    <w:p>
      <w:pPr>
        <w:pStyle w:val="Heading2"/>
        <w:rPr/>
      </w:pPr>
      <w:bookmarkStart w:id="2" w:name="__RefHeading___Toc450095916"/>
      <w:bookmarkEnd w:id="2"/>
      <w:r>
        <w:rPr/>
        <w:t>Project Vision</w:t>
      </w:r>
    </w:p>
    <w:p>
      <w:pPr>
        <w:pStyle w:val="Normal"/>
        <w:rPr/>
      </w:pPr>
      <w:r>
        <w:rPr/>
      </w:r>
    </w:p>
    <w:p>
      <w:pPr>
        <w:pStyle w:val="BodyText3"/>
        <w:rPr/>
      </w:pPr>
      <w:r>
        <w:rPr/>
        <w:t xml:space="preserve">To take full advantage of opportunities available by  providing a comprehensive online (i.e. Web-based) commodity trading system. </w:t>
      </w:r>
    </w:p>
    <w:p>
      <w:pPr>
        <w:pStyle w:val="BodyText3"/>
        <w:rPr/>
      </w:pPr>
      <w:r>
        <w:rPr/>
      </w:r>
    </w:p>
    <w:p>
      <w:pPr>
        <w:pStyle w:val="BodyText3"/>
        <w:rPr/>
      </w:pPr>
      <w:r>
        <w:rPr/>
        <w:t>To maximise the potential upside of this undertaking, an aggressive timeframe for delivery is essential.</w:t>
      </w:r>
    </w:p>
    <w:p>
      <w:pPr>
        <w:pStyle w:val="Heading2"/>
        <w:rPr/>
      </w:pPr>
      <w:bookmarkStart w:id="3" w:name="__RefHeading___Toc450095917"/>
      <w:bookmarkEnd w:id="3"/>
      <w:r>
        <w:rPr/>
        <w:t>Business Benefits</w:t>
      </w:r>
    </w:p>
    <w:p>
      <w:pPr>
        <w:pStyle w:val="Normal"/>
        <w:numPr>
          <w:ilvl w:val="0"/>
          <w:numId w:val="0"/>
        </w:numPr>
        <w:ind w:hanging="0" w:start="0"/>
        <w:rPr/>
      </w:pPr>
      <w:r>
        <w:rPr/>
      </w:r>
    </w:p>
    <w:p>
      <w:pPr>
        <w:pStyle w:val="Normal"/>
        <w:numPr>
          <w:ilvl w:val="0"/>
          <w:numId w:val="0"/>
        </w:numPr>
        <w:ind w:hanging="0" w:start="0"/>
        <w:rPr/>
      </w:pPr>
      <w:r>
        <w:rPr/>
        <w:t>The anticipated business benefits are:</w:t>
      </w:r>
    </w:p>
    <w:p>
      <w:pPr>
        <w:pStyle w:val="Normal"/>
        <w:numPr>
          <w:ilvl w:val="0"/>
          <w:numId w:val="0"/>
        </w:numPr>
        <w:ind w:hanging="0" w:start="0"/>
        <w:rPr/>
      </w:pPr>
      <w:r>
        <w:rPr/>
      </w:r>
    </w:p>
    <w:p>
      <w:pPr>
        <w:pStyle w:val="Normal"/>
        <w:numPr>
          <w:ilvl w:val="0"/>
          <w:numId w:val="4"/>
        </w:numPr>
        <w:tabs>
          <w:tab w:val="left" w:pos="360" w:leader="none"/>
          <w:tab w:val="left" w:pos="720" w:leader="none"/>
        </w:tabs>
        <w:rPr/>
      </w:pPr>
      <w:r>
        <w:rPr/>
        <w:t>Increased shareholder value</w:t>
      </w:r>
    </w:p>
    <w:p>
      <w:pPr>
        <w:pStyle w:val="Heading2"/>
        <w:rPr/>
      </w:pPr>
      <w:bookmarkStart w:id="4" w:name="__RefHeading___Toc450095918"/>
      <w:bookmarkEnd w:id="4"/>
      <w:r>
        <w:rPr/>
        <w:t>System Requirements</w:t>
      </w:r>
    </w:p>
    <w:p>
      <w:pPr>
        <w:pStyle w:val="Normal"/>
        <w:rPr/>
      </w:pPr>
      <w:r>
        <w:rPr/>
        <w:t>The Enron Online Trading System has to support multiple languages and needs to incorporate a real time currency conversion function as users may request to see price quotes in the currency of their choice. The currency conversion function is detailed in the Enron View requirement summary below.</w:t>
      </w:r>
    </w:p>
    <w:p>
      <w:pPr>
        <w:pStyle w:val="Normal"/>
        <w:rPr/>
      </w:pPr>
      <w:r>
        <w:rPr/>
      </w:r>
    </w:p>
    <w:p>
      <w:pPr>
        <w:pStyle w:val="Normal"/>
        <w:rPr/>
      </w:pPr>
      <w:r>
        <w:rPr/>
        <w:t>For the purposes of detailing the system requirements, two “views” of the system have been considered. Firstly, an examination of what is required from a customer perspective is made. Secondly, Enron internal requirements are discussed.</w:t>
      </w:r>
    </w:p>
    <w:p>
      <w:pPr>
        <w:pStyle w:val="Heading2"/>
        <w:rPr/>
      </w:pPr>
      <w:bookmarkStart w:id="5" w:name="__RefHeading___Toc450095919"/>
      <w:bookmarkEnd w:id="5"/>
      <w:r>
        <w:rPr/>
        <w:t>Requirements - External View</w:t>
      </w:r>
    </w:p>
    <w:p>
      <w:pPr>
        <w:pStyle w:val="Normal"/>
        <w:rPr/>
      </w:pPr>
      <w:r>
        <w:rPr/>
        <w:t>The system will operate over the Internet, and must be secure. Possibilities for malicious or frivolous use must be minimised by enforcing a rigorous security policy. Users of the system must be “registered”, and will be forced to enter a userid and password before access to functional pieces of the system is granted. Standard “firewall” technology will be used to prohibit unauthorised access to Enron’s internal networks. Customers should also be able to access the site using industry standard hardware, a suitable “level 4” web-browser of their choice, and without utilising special hardware add-ons (e.g. smart card system).</w:t>
      </w:r>
    </w:p>
    <w:p>
      <w:pPr>
        <w:pStyle w:val="Heading3"/>
        <w:ind w:hanging="0" w:start="0"/>
        <w:rPr/>
      </w:pPr>
      <w:bookmarkStart w:id="6" w:name="__RefHeading___Toc450095920"/>
      <w:bookmarkEnd w:id="6"/>
      <w:r>
        <w:rPr/>
        <w:t>Provision of Marketing Information</w:t>
      </w:r>
    </w:p>
    <w:p>
      <w:pPr>
        <w:pStyle w:val="Normal"/>
        <w:rPr/>
      </w:pPr>
      <w:r>
        <w:rPr/>
        <w:t>A new user must be able to view marketing information on the system and what the system can do. If they wish they should be able to contact someone at Enron, or submit a further request for information.</w:t>
      </w:r>
    </w:p>
    <w:p>
      <w:pPr>
        <w:pStyle w:val="Heading3"/>
        <w:ind w:hanging="0" w:start="0"/>
        <w:rPr/>
      </w:pPr>
      <w:bookmarkStart w:id="7" w:name="__RefHeading___Toc450095921"/>
      <w:bookmarkEnd w:id="7"/>
      <w:r>
        <w:rPr/>
        <w:t>Customer Registration</w:t>
      </w:r>
    </w:p>
    <w:p>
      <w:pPr>
        <w:pStyle w:val="Normal"/>
        <w:rPr/>
      </w:pPr>
      <w:r>
        <w:rPr/>
        <w:t>Customers must be able to enter sufficient information for Enron to be able to authorize online trading for that customer.</w:t>
      </w:r>
    </w:p>
    <w:p>
      <w:pPr>
        <w:pStyle w:val="Heading3"/>
        <w:ind w:hanging="0" w:start="0"/>
        <w:rPr/>
      </w:pPr>
      <w:bookmarkStart w:id="8" w:name="__RefHeading___Toc450095922"/>
      <w:bookmarkEnd w:id="8"/>
      <w:r>
        <w:rPr/>
        <w:t>Customer Feedback</w:t>
      </w:r>
    </w:p>
    <w:p>
      <w:pPr>
        <w:pStyle w:val="Normal"/>
        <w:rPr/>
      </w:pPr>
      <w:r>
        <w:rPr/>
        <w:t>Customers should be able to submit feedback to Enron. The feedback should be targetable at a global “webmaster” contact, or alternatively a more specific market-based contact depending on the product/market being queried.</w:t>
      </w:r>
    </w:p>
    <w:p>
      <w:pPr>
        <w:pStyle w:val="Heading3"/>
        <w:ind w:hanging="0" w:start="0"/>
        <w:rPr/>
      </w:pPr>
      <w:bookmarkStart w:id="9" w:name="__RefHeading___Toc450095923"/>
      <w:bookmarkEnd w:id="9"/>
      <w:r>
        <w:rPr/>
        <w:t>Customer Details Management</w:t>
      </w:r>
    </w:p>
    <w:p>
      <w:pPr>
        <w:pStyle w:val="Normal"/>
        <w:rPr/>
      </w:pPr>
      <w:r>
        <w:rPr/>
        <w:t>Once registered, a customer needs to be able to amend customer level information as defined in the online trading system. This may include requests for authorisation for the trading of new commodity types. This facility should only be available to an Administrator level customer user.</w:t>
      </w:r>
    </w:p>
    <w:p>
      <w:pPr>
        <w:pStyle w:val="Heading3"/>
        <w:ind w:hanging="0" w:start="0"/>
        <w:rPr/>
      </w:pPr>
      <w:bookmarkStart w:id="10" w:name="__RefHeading___Toc450095924"/>
      <w:bookmarkEnd w:id="10"/>
      <w:r>
        <w:rPr/>
        <w:t>User Management</w:t>
      </w:r>
    </w:p>
    <w:p>
      <w:pPr>
        <w:pStyle w:val="Normal"/>
        <w:rPr/>
      </w:pPr>
      <w:r>
        <w:rPr/>
        <w:t>Customers should be able to specify individual users of the system. A counterparty may have a number of traders who trade various commodities. Trader A may be able to trade Gas online, Trader B power. This facility should only be available to an Administrator level customer user.</w:t>
      </w:r>
    </w:p>
    <w:p>
      <w:pPr>
        <w:pStyle w:val="Normal"/>
        <w:rPr/>
      </w:pPr>
      <w:r>
        <w:rPr/>
      </w:r>
    </w:p>
    <w:p>
      <w:pPr>
        <w:pStyle w:val="Normal"/>
        <w:rPr/>
      </w:pPr>
      <w:r>
        <w:rPr/>
        <w:t>Customer administrators must be able to establish and maintain individual user accounts within their Customer system entity. They should be able to specify who a user is (request a login/password), what that user can do (e.g. commodities to trade), preferred default currency/units for display, and user defined limits for that trader.</w:t>
      </w:r>
    </w:p>
    <w:p>
      <w:pPr>
        <w:pStyle w:val="Heading3"/>
        <w:ind w:hanging="0" w:start="0"/>
        <w:rPr/>
      </w:pPr>
      <w:bookmarkStart w:id="11" w:name="__RefHeading___Toc450095925"/>
      <w:bookmarkEnd w:id="11"/>
      <w:r>
        <w:rPr/>
        <w:t>System Explorer</w:t>
      </w:r>
    </w:p>
    <w:p>
      <w:pPr>
        <w:pStyle w:val="Normal"/>
        <w:rPr/>
      </w:pPr>
      <w:r>
        <w:rPr/>
        <w:t>Once logged in, users should be able to navigate to online bid/offer details by product or region. The navigation path should be limited to valid access paths for the logged in user if possible (e.g. a user who can only transact paper should not be allowed to see prices for coal). Based on the navigation path traversed, users will be presented with a Price Viewer page.</w:t>
      </w:r>
    </w:p>
    <w:p>
      <w:pPr>
        <w:pStyle w:val="Normal"/>
        <w:rPr/>
      </w:pPr>
      <w:r>
        <w:rPr/>
      </w:r>
    </w:p>
    <w:p>
      <w:pPr>
        <w:pStyle w:val="Normal"/>
        <w:rPr/>
      </w:pPr>
      <w:r>
        <w:rPr/>
        <w:t>Certain categories of users will have read only access to certain parts of the system.</w:t>
      </w:r>
    </w:p>
    <w:p>
      <w:pPr>
        <w:pStyle w:val="Heading3"/>
        <w:ind w:hanging="0" w:start="0"/>
        <w:rPr/>
      </w:pPr>
      <w:bookmarkStart w:id="12" w:name="__RefHeading___Toc450095926"/>
      <w:bookmarkEnd w:id="12"/>
      <w:r>
        <w:rPr/>
        <w:t>Price Viewer</w:t>
      </w:r>
    </w:p>
    <w:p>
      <w:pPr>
        <w:pStyle w:val="Normal"/>
        <w:rPr/>
      </w:pPr>
      <w:r>
        <w:rPr/>
        <w:t>The Price Viewer will enable users to view live quotes and initiate transactions if they have authorisation.</w:t>
      </w:r>
    </w:p>
    <w:p>
      <w:pPr>
        <w:pStyle w:val="Normal"/>
        <w:rPr/>
      </w:pPr>
      <w:r>
        <w:rPr/>
      </w:r>
    </w:p>
    <w:p>
      <w:pPr>
        <w:pStyle w:val="Normal"/>
        <w:rPr/>
      </w:pPr>
      <w:r>
        <w:rPr/>
        <w:t>Users will be able to specify valid products and regions to display (using a filtering mechanism) and the system should remember user preferences in this regard. One or more commodities / regions may be displayed at a time (composite page).</w:t>
      </w:r>
    </w:p>
    <w:p>
      <w:pPr>
        <w:pStyle w:val="Normal"/>
        <w:rPr/>
      </w:pPr>
      <w:r>
        <w:rPr/>
      </w:r>
    </w:p>
    <w:p>
      <w:pPr>
        <w:pStyle w:val="Normal"/>
        <w:rPr/>
      </w:pPr>
      <w:r>
        <w:rPr/>
        <w:t>The user should be able to specify the currency they wish to see prices in and the energy/volumetric unit.</w:t>
      </w:r>
    </w:p>
    <w:p>
      <w:pPr>
        <w:pStyle w:val="Heading3"/>
        <w:ind w:hanging="0" w:start="0"/>
        <w:rPr/>
      </w:pPr>
      <w:bookmarkStart w:id="13" w:name="__RefHeading___Toc450095927"/>
      <w:bookmarkEnd w:id="13"/>
      <w:r>
        <w:rPr/>
        <w:t>Detail Viewer</w:t>
      </w:r>
    </w:p>
    <w:p>
      <w:pPr>
        <w:pStyle w:val="Normal"/>
        <w:rPr/>
      </w:pPr>
      <w:r>
        <w:rPr/>
        <w:t>The user may wish to view detailed information on one of the quotes displayed on the Price Viewer. They should be able to access information such as contract terms, product explanations and GTCs, easily from the Price Viewer.</w:t>
      </w:r>
    </w:p>
    <w:p>
      <w:pPr>
        <w:pStyle w:val="Heading3"/>
        <w:ind w:hanging="0" w:start="0"/>
        <w:rPr/>
      </w:pPr>
      <w:bookmarkStart w:id="14" w:name="__RefHeading___Toc450095928"/>
      <w:bookmarkEnd w:id="14"/>
      <w:r>
        <w:rPr/>
        <w:t>Transactor</w:t>
      </w:r>
    </w:p>
    <w:p>
      <w:pPr>
        <w:pStyle w:val="Normal"/>
        <w:rPr/>
      </w:pPr>
      <w:r>
        <w:rPr/>
        <w:t xml:space="preserve">Once an external trading user has decided to do a trade based on a quote on the Price Viewer, they should be able to enter a transaction dialog whereby they specify the amount of the relevant commodity they wish to buy or sell. Volumes may be adjusted down, but all transactions will be subject to a minimum contract size and a minimum tick size. By confirming that he/she wishes to transact, the external trader will be legally bound to satisfy the deal, subject to online validation and authorization.. </w:t>
      </w:r>
    </w:p>
    <w:p>
      <w:pPr>
        <w:pStyle w:val="Heading3"/>
        <w:ind w:hanging="0" w:start="0"/>
        <w:rPr/>
      </w:pPr>
      <w:bookmarkStart w:id="15" w:name="__RefHeading___Toc450095929"/>
      <w:bookmarkEnd w:id="15"/>
      <w:r>
        <w:rPr/>
        <w:t>Online Acknowledgement</w:t>
      </w:r>
    </w:p>
    <w:p>
      <w:pPr>
        <w:pStyle w:val="Normal"/>
        <w:rPr/>
      </w:pPr>
      <w:r>
        <w:rPr/>
        <w:t xml:space="preserve">The system should issue an online acknowledgement to the external trader. The external trading user should be forced to click on a button on the acknowledgement so that the system can record that the trade has actually been acknowledged. </w:t>
      </w:r>
    </w:p>
    <w:p>
      <w:pPr>
        <w:pStyle w:val="Heading3"/>
        <w:ind w:hanging="0" w:start="0"/>
        <w:rPr/>
      </w:pPr>
      <w:bookmarkStart w:id="16" w:name="__RefHeading___Toc450095930"/>
      <w:bookmarkEnd w:id="16"/>
      <w:r>
        <w:rPr/>
        <w:t>Customer “Account” Viewer / Manager</w:t>
      </w:r>
    </w:p>
    <w:p>
      <w:pPr>
        <w:pStyle w:val="Normal"/>
        <w:rPr/>
      </w:pPr>
      <w:r>
        <w:rPr/>
        <w:t>A user must be able to view key physical and financial aspects of their current transaction base. This information will include completed transactions, current position and net amounts due/receivable. This information should be queryable. The viewer will be commodity based, allowing Crude Traders to view only details of Crude transactions, for example. The customer administrator user will be able to see all transactions.</w:t>
      </w:r>
    </w:p>
    <w:p>
      <w:pPr>
        <w:pStyle w:val="Heading3"/>
        <w:ind w:hanging="0" w:start="0"/>
        <w:rPr/>
      </w:pPr>
      <w:bookmarkStart w:id="17" w:name="__RefHeading___Toc450095931"/>
      <w:bookmarkEnd w:id="17"/>
      <w:r>
        <w:rPr/>
        <w:t>Order Manager</w:t>
      </w:r>
    </w:p>
    <w:p>
      <w:pPr>
        <w:pStyle w:val="Normal"/>
        <w:rPr/>
      </w:pPr>
      <w:r>
        <w:rPr/>
        <w:t>A customer may enter a specific buy or sell order which will be satisfied if an Enron offer/bid matches the submitted criteria at any time before the expiry of a specified time-limit. If such a situation arises, the system should authorise the transaction using the same processes as the Transactor, without seeking user input to acknowledge that the trade should go ahead.</w:t>
      </w:r>
    </w:p>
    <w:p>
      <w:pPr>
        <w:pStyle w:val="Heading3"/>
        <w:ind w:hanging="0" w:start="0"/>
        <w:rPr/>
      </w:pPr>
      <w:bookmarkStart w:id="18" w:name="__RefHeading___Toc450095932"/>
      <w:bookmarkEnd w:id="18"/>
      <w:r>
        <w:rPr/>
        <w:t>News Viewer</w:t>
      </w:r>
    </w:p>
    <w:p>
      <w:pPr>
        <w:pStyle w:val="Normal"/>
        <w:rPr/>
      </w:pPr>
      <w:r>
        <w:rPr/>
        <w:t>Interesting market related news items should be accessible using a news viewer. Initial releases will restrict this to Enron published information. Subsequent phases may incorporate a live information feed from a market data provider such as Reuters.</w:t>
      </w:r>
    </w:p>
    <w:p>
      <w:pPr>
        <w:pStyle w:val="Heading3"/>
        <w:ind w:hanging="0" w:start="0"/>
        <w:rPr/>
      </w:pPr>
      <w:bookmarkStart w:id="19" w:name="__RefHeading___Toc450095933"/>
      <w:bookmarkEnd w:id="19"/>
      <w:r>
        <w:rPr/>
        <w:t>Price Ticker</w:t>
      </w:r>
    </w:p>
    <w:p>
      <w:pPr>
        <w:pStyle w:val="Normal"/>
        <w:rPr/>
      </w:pPr>
      <w:r>
        <w:rPr/>
        <w:t>Summary information of Enron bid/offers should be displayed in a “ticker” type form. Clicking on a ticker price “item” should result in the user being taken to the Price Viewer so that they can execute a transaction if they desire.</w:t>
      </w:r>
    </w:p>
    <w:p>
      <w:pPr>
        <w:pStyle w:val="Heading3"/>
        <w:ind w:hanging="0" w:start="0"/>
        <w:rPr/>
      </w:pPr>
      <w:bookmarkStart w:id="20" w:name="__RefHeading___Toc450095934"/>
      <w:bookmarkEnd w:id="20"/>
      <w:r>
        <w:rPr/>
        <w:t>Trading Tools</w:t>
      </w:r>
    </w:p>
    <w:p>
      <w:pPr>
        <w:pStyle w:val="Normal"/>
        <w:rPr/>
      </w:pPr>
      <w:r>
        <w:rPr/>
        <w:t>No detail at moment – there will probably be a requirement for a Trading tool for users to calculate options etc. This is not seen as a day zero requirement, and may be subject to operational issues.</w:t>
      </w:r>
    </w:p>
    <w:p>
      <w:pPr>
        <w:pStyle w:val="Heading3"/>
        <w:ind w:hanging="0" w:start="0"/>
        <w:rPr/>
      </w:pPr>
      <w:bookmarkStart w:id="21" w:name="__RefHeading___Toc450095935"/>
      <w:bookmarkEnd w:id="21"/>
      <w:r>
        <w:rPr/>
        <w:t>Contact List / Links Page</w:t>
      </w:r>
    </w:p>
    <w:p>
      <w:pPr>
        <w:pStyle w:val="Normal"/>
        <w:rPr/>
      </w:pPr>
      <w:r>
        <w:rPr/>
        <w:t>Users should be able to email feedback to Enron contacts or navigate to the main Enron Internet sites.</w:t>
      </w:r>
    </w:p>
    <w:p>
      <w:pPr>
        <w:pStyle w:val="Heading3"/>
        <w:ind w:hanging="0" w:start="0"/>
        <w:rPr/>
      </w:pPr>
      <w:bookmarkStart w:id="22" w:name="__RefHeading___Toc450095936"/>
      <w:bookmarkEnd w:id="22"/>
      <w:r>
        <w:rPr/>
        <w:t>Online Trading Help</w:t>
      </w:r>
    </w:p>
    <w:p>
      <w:pPr>
        <w:pStyle w:val="Normal"/>
        <w:rPr/>
      </w:pPr>
      <w:r>
        <w:rPr/>
        <w:t>Users who are unsure of how to use the system should have the opportunity to go to a help page outlining the system and its operation.</w:t>
      </w:r>
    </w:p>
    <w:p>
      <w:pPr>
        <w:pStyle w:val="Normal"/>
        <w:rPr/>
      </w:pPr>
      <w:r>
        <w:rPr/>
      </w:r>
    </w:p>
    <w:p>
      <w:pPr>
        <w:pStyle w:val="Heading2"/>
        <w:rPr/>
      </w:pPr>
      <w:bookmarkStart w:id="23" w:name="__RefHeading___Toc450095937"/>
      <w:bookmarkEnd w:id="23"/>
      <w:r>
        <w:rPr/>
        <w:t>Requirements – Enron View</w:t>
      </w:r>
    </w:p>
    <w:p>
      <w:pPr>
        <w:pStyle w:val="Normal"/>
        <w:rPr/>
      </w:pPr>
      <w:r>
        <w:rPr/>
        <w:t>Functionality is required from an operational standpoint to ensure the smooth running of the system. This includes the authorisation/setup of customer accounts, and the publishing of quotes.</w:t>
      </w:r>
    </w:p>
    <w:p>
      <w:pPr>
        <w:pStyle w:val="Heading3"/>
        <w:ind w:hanging="0" w:start="0"/>
        <w:rPr/>
      </w:pPr>
      <w:bookmarkStart w:id="24" w:name="__RefHeading___Toc450095938"/>
      <w:bookmarkEnd w:id="24"/>
      <w:r>
        <w:rPr/>
        <w:t>Enron Customer Maintenance</w:t>
      </w:r>
    </w:p>
    <w:p>
      <w:pPr>
        <w:pStyle w:val="Normal"/>
        <w:rPr/>
      </w:pPr>
      <w:r>
        <w:rPr/>
        <w:t>The customer maintenance function will enable the Enron Online Trading “Administrator” user to:</w:t>
      </w:r>
    </w:p>
    <w:p>
      <w:pPr>
        <w:pStyle w:val="Normal"/>
        <w:numPr>
          <w:ilvl w:val="0"/>
          <w:numId w:val="2"/>
        </w:numPr>
        <w:tabs>
          <w:tab w:val="clear" w:pos="720"/>
          <w:tab w:val="left" w:pos="938" w:leader="none"/>
        </w:tabs>
        <w:ind w:hanging="360" w:start="938" w:end="0"/>
        <w:rPr/>
      </w:pPr>
      <w:r>
        <w:rPr/>
        <w:t>Authorise new customers for proposed classes of business</w:t>
      </w:r>
    </w:p>
    <w:p>
      <w:pPr>
        <w:pStyle w:val="Normal"/>
        <w:numPr>
          <w:ilvl w:val="0"/>
          <w:numId w:val="2"/>
        </w:numPr>
        <w:tabs>
          <w:tab w:val="clear" w:pos="720"/>
          <w:tab w:val="left" w:pos="938" w:leader="none"/>
        </w:tabs>
        <w:ind w:hanging="360" w:start="938" w:end="0"/>
        <w:rPr/>
      </w:pPr>
      <w:r>
        <w:rPr/>
        <w:t>Determine what information a customer has access to (regions, commodities)</w:t>
      </w:r>
    </w:p>
    <w:p>
      <w:pPr>
        <w:pStyle w:val="Normal"/>
        <w:numPr>
          <w:ilvl w:val="0"/>
          <w:numId w:val="2"/>
        </w:numPr>
        <w:tabs>
          <w:tab w:val="clear" w:pos="720"/>
          <w:tab w:val="left" w:pos="938" w:leader="none"/>
        </w:tabs>
        <w:ind w:hanging="360" w:start="938" w:end="0"/>
        <w:rPr/>
      </w:pPr>
      <w:r>
        <w:rPr/>
        <w:t>Apply standard credit checks</w:t>
      </w:r>
    </w:p>
    <w:p>
      <w:pPr>
        <w:pStyle w:val="Normal"/>
        <w:numPr>
          <w:ilvl w:val="0"/>
          <w:numId w:val="2"/>
        </w:numPr>
        <w:tabs>
          <w:tab w:val="clear" w:pos="720"/>
          <w:tab w:val="left" w:pos="938" w:leader="none"/>
        </w:tabs>
        <w:ind w:hanging="360" w:start="938" w:end="0"/>
        <w:rPr/>
      </w:pPr>
      <w:r>
        <w:rPr/>
        <w:t>Approve changes to customer information the customer may have made themselves</w:t>
      </w:r>
    </w:p>
    <w:p>
      <w:pPr>
        <w:pStyle w:val="Normal"/>
        <w:numPr>
          <w:ilvl w:val="0"/>
          <w:numId w:val="2"/>
        </w:numPr>
        <w:tabs>
          <w:tab w:val="clear" w:pos="720"/>
          <w:tab w:val="left" w:pos="938" w:leader="none"/>
        </w:tabs>
        <w:ind w:hanging="360" w:start="938" w:end="0"/>
        <w:rPr/>
      </w:pPr>
      <w:r>
        <w:rPr/>
        <w:t>Link Counterparties to any Master Agreement numbers</w:t>
      </w:r>
    </w:p>
    <w:p>
      <w:pPr>
        <w:pStyle w:val="Normal"/>
        <w:numPr>
          <w:ilvl w:val="0"/>
          <w:numId w:val="2"/>
        </w:numPr>
        <w:tabs>
          <w:tab w:val="clear" w:pos="720"/>
          <w:tab w:val="left" w:pos="938" w:leader="none"/>
        </w:tabs>
        <w:ind w:hanging="360" w:start="938" w:end="0"/>
        <w:rPr/>
      </w:pPr>
      <w:r>
        <w:rPr/>
        <w:t>Allocate userids and passwords to customer administrator users</w:t>
      </w:r>
    </w:p>
    <w:p>
      <w:pPr>
        <w:pStyle w:val="Heading3"/>
        <w:ind w:hanging="0" w:start="0"/>
        <w:rPr/>
      </w:pPr>
      <w:bookmarkStart w:id="25" w:name="__RefHeading___Toc450095939"/>
      <w:bookmarkEnd w:id="25"/>
      <w:r>
        <w:rPr/>
        <w:t>Enron Product Manager</w:t>
      </w:r>
    </w:p>
    <w:p>
      <w:pPr>
        <w:pStyle w:val="Normal"/>
        <w:rPr/>
      </w:pPr>
      <w:r>
        <w:rPr/>
        <w:t>The product management function will allow Enron Online Traders to specify products for which quotes will be published. The information will include a detailed description of the product, default contract terms, type of product (gas, power, coal etc) and region to which the product applies.</w:t>
      </w:r>
    </w:p>
    <w:p>
      <w:pPr>
        <w:pStyle w:val="Heading3"/>
        <w:ind w:hanging="0" w:start="0"/>
        <w:rPr/>
      </w:pPr>
      <w:bookmarkStart w:id="26" w:name="__RefHeading___Toc450095940"/>
      <w:bookmarkEnd w:id="26"/>
      <w:r>
        <w:rPr/>
        <w:t>Region Maintenance</w:t>
      </w:r>
    </w:p>
    <w:p>
      <w:pPr>
        <w:pStyle w:val="Normal"/>
        <w:rPr/>
      </w:pPr>
      <w:r>
        <w:rPr/>
        <w:t>The region maintenance function will allow Enron Online Trading “Administrator” to add new Regions where products are to be traded.</w:t>
      </w:r>
    </w:p>
    <w:p>
      <w:pPr>
        <w:pStyle w:val="Heading3"/>
        <w:ind w:hanging="0" w:start="0"/>
        <w:rPr/>
      </w:pPr>
      <w:bookmarkStart w:id="27" w:name="__RefHeading___Toc450095941"/>
      <w:bookmarkEnd w:id="27"/>
      <w:r>
        <w:rPr/>
        <w:t>Price Publisher</w:t>
      </w:r>
    </w:p>
    <w:p>
      <w:pPr>
        <w:pStyle w:val="Normal"/>
        <w:rPr/>
      </w:pPr>
      <w:r>
        <w:rPr/>
        <w:t>The price publisher will allow Enron Online traders (and only Enron traders) to publish bid/offer prices and volumes for a particular product being marketed on the online trading system. Prices will be “stacked” (if a particular tranche is completely taken by a counterparty, a second quote will be displayed by the system, and so on). Price quotes for products will be subject to a minimum transaction volume, and a minimum “tick size”. The Enron Online trader must have the facility to “pull” all/some quotes if, for example, there has been a significant market move and his/her trading strategy needs to be reviewed. Quotes to be published should be “garbage-checked” prior to their inclusion on the site.</w:t>
      </w:r>
    </w:p>
    <w:p>
      <w:pPr>
        <w:pStyle w:val="Heading3"/>
        <w:ind w:hanging="0" w:start="0"/>
        <w:rPr/>
      </w:pPr>
      <w:bookmarkStart w:id="28" w:name="__RefHeading___Toc450095942"/>
      <w:bookmarkEnd w:id="28"/>
      <w:r>
        <w:rPr/>
        <w:t>Transaction Authorization</w:t>
      </w:r>
    </w:p>
    <w:p>
      <w:pPr>
        <w:pStyle w:val="Normal"/>
        <w:rPr/>
      </w:pPr>
      <w:r>
        <w:rPr/>
        <w:t>When a transaction is initiated by a customer it needs to be authorized prior to becoming a bona-fide trade. The transaction must first pass any customer defined checks (e.g. limits that are specified by the customer User Management process). Limits should be checked on the Enron side and if all is well the transaction is completed and an online acknowledgement issued. Multiple concurrent bids should be handled on a “first come, first served” basis.</w:t>
      </w:r>
    </w:p>
    <w:p>
      <w:pPr>
        <w:pStyle w:val="Heading3"/>
        <w:ind w:hanging="0" w:start="0"/>
        <w:rPr/>
      </w:pPr>
      <w:bookmarkStart w:id="29" w:name="__RefHeading___Toc450095943"/>
      <w:bookmarkEnd w:id="29"/>
      <w:r>
        <w:rPr/>
        <w:t>Auto-Transaction Filler</w:t>
      </w:r>
    </w:p>
    <w:p>
      <w:pPr>
        <w:pStyle w:val="Normal"/>
        <w:rPr/>
      </w:pPr>
      <w:r>
        <w:rPr/>
        <w:t>This process should monitor posted customer orders and initiate the transaction authorisation process if the customer order requirements have been satisified. An Enron Online trader may wish to check the Auto-Transaction queue and may in certain circumstances choose to transact based on a submitted bid/offer. Traders should be alerted when any customer offers are received.</w:t>
      </w:r>
    </w:p>
    <w:p>
      <w:pPr>
        <w:pStyle w:val="Heading3"/>
        <w:ind w:hanging="0" w:start="0"/>
        <w:rPr/>
      </w:pPr>
      <w:bookmarkStart w:id="30" w:name="__RefHeading___Toc450095944"/>
      <w:bookmarkEnd w:id="30"/>
      <w:r>
        <w:rPr/>
        <w:t>FX Conversion</w:t>
      </w:r>
    </w:p>
    <w:p>
      <w:pPr>
        <w:pStyle w:val="Normal"/>
        <w:rPr/>
      </w:pPr>
      <w:r>
        <w:rPr/>
        <w:t>As customers can specify the currency they wish to view quotes in, the system needs to take live feeds of FX rates (adjusted for forward maturity and bid/offer) to inhibit arbitrage opportunities.</w:t>
      </w:r>
    </w:p>
    <w:p>
      <w:pPr>
        <w:pStyle w:val="Heading3"/>
        <w:ind w:hanging="0" w:start="0"/>
        <w:rPr/>
      </w:pPr>
      <w:bookmarkStart w:id="31" w:name="__RefHeading___Toc450095945"/>
      <w:bookmarkEnd w:id="31"/>
      <w:r>
        <w:rPr/>
        <w:t>Management Reporting</w:t>
      </w:r>
    </w:p>
    <w:p>
      <w:pPr>
        <w:pStyle w:val="Normal"/>
        <w:rPr/>
      </w:pPr>
      <w:r>
        <w:rPr/>
        <w:t xml:space="preserve">A suite of reports for Enron Traders and management is required. </w:t>
      </w:r>
    </w:p>
    <w:p>
      <w:pPr>
        <w:pStyle w:val="Heading3"/>
        <w:ind w:hanging="0" w:start="0"/>
        <w:rPr/>
      </w:pPr>
      <w:bookmarkStart w:id="32" w:name="__RefHeading___Toc450095946"/>
      <w:bookmarkEnd w:id="32"/>
      <w:r>
        <w:rPr/>
        <w:t>Enron Trading Book Feeds</w:t>
      </w:r>
    </w:p>
    <w:p>
      <w:pPr>
        <w:pStyle w:val="Normal"/>
        <w:rPr/>
      </w:pPr>
      <w:r>
        <w:rPr/>
        <w:t>Transactions done on the Online Trading system will automatically feed through to the relevant Enron Trading book. Initially it is envisaged that this process will be done manually.</w:t>
      </w:r>
    </w:p>
    <w:p>
      <w:pPr>
        <w:pStyle w:val="Heading2"/>
        <w:rPr/>
      </w:pPr>
      <w:bookmarkStart w:id="33" w:name="__RefHeading___Toc450095947"/>
      <w:bookmarkEnd w:id="33"/>
      <w:r>
        <w:rPr/>
        <w:t>System Performance</w:t>
      </w:r>
    </w:p>
    <w:p>
      <w:pPr>
        <w:pStyle w:val="Heading3"/>
        <w:ind w:hanging="0" w:start="0"/>
        <w:rPr/>
      </w:pPr>
      <w:bookmarkStart w:id="34" w:name="__RefHeading___Toc450095948"/>
      <w:bookmarkEnd w:id="34"/>
      <w:r>
        <w:rPr/>
        <w:t>Security</w:t>
      </w:r>
    </w:p>
    <w:p>
      <w:pPr>
        <w:pStyle w:val="Normal"/>
        <w:rPr/>
      </w:pPr>
      <w:r>
        <w:rPr/>
        <w:t>The system must be secure. Authorized users should be forced to log-in before accessing any operational pieces of the system. The possibility for unauthorized misuse of  data should be minimised.</w:t>
      </w:r>
    </w:p>
    <w:p>
      <w:pPr>
        <w:pStyle w:val="Heading3"/>
        <w:ind w:hanging="0" w:start="0"/>
        <w:rPr/>
      </w:pPr>
      <w:bookmarkStart w:id="35" w:name="__RefHeading___Toc450095949"/>
      <w:bookmarkEnd w:id="35"/>
      <w:r>
        <w:rPr/>
        <w:t>Scalability</w:t>
      </w:r>
    </w:p>
    <w:p>
      <w:pPr>
        <w:pStyle w:val="Normal"/>
        <w:rPr/>
      </w:pPr>
      <w:r>
        <w:rPr/>
        <w:t>With the potential for heavy use of the Enron Online Trading System any storage mechanism for deals transacted will need to be scalable. It should be able to comfortably store transaction levels in the range of 100,000 to 1,000,000.</w:t>
      </w:r>
    </w:p>
    <w:p>
      <w:pPr>
        <w:pStyle w:val="Heading3"/>
        <w:ind w:hanging="0" w:start="0"/>
        <w:rPr/>
      </w:pPr>
      <w:bookmarkStart w:id="36" w:name="__RefHeading___Toc450095950"/>
      <w:bookmarkEnd w:id="36"/>
      <w:r>
        <w:rPr/>
        <w:t>Response Times</w:t>
      </w:r>
    </w:p>
    <w:p>
      <w:pPr>
        <w:pStyle w:val="Normal"/>
        <w:rPr/>
      </w:pPr>
      <w:r>
        <w:rPr/>
        <w:t>Navigation of the site and in particular the execution of an online transaction should be quick. Any transaction for which a lengthy response is anticipated should be annotated with a user “warning” that the transaction may take some time to complete and that the user should not interact with the browser in that time (e.g. click on the “Back” button).</w:t>
      </w:r>
    </w:p>
    <w:p>
      <w:pPr>
        <w:pStyle w:val="Heading3"/>
        <w:ind w:hanging="0" w:start="0"/>
        <w:rPr/>
      </w:pPr>
      <w:bookmarkStart w:id="37" w:name="__RefHeading___Toc450095951"/>
      <w:bookmarkEnd w:id="37"/>
      <w:r>
        <w:rPr/>
        <w:t>Look and Feel</w:t>
      </w:r>
    </w:p>
    <w:p>
      <w:pPr>
        <w:pStyle w:val="Normal"/>
        <w:rPr/>
      </w:pPr>
      <w:r>
        <w:rPr/>
        <w:t>All Enron web sites must have the standard Enron “look and feel”. It is of prime importance that the Enron Online Trading system in particular be pleasant on the eye, easy to use, and intuitive. If the site looks bad, users are not encouraged to use it to trade, which negates the prime objective of this project.</w:t>
      </w:r>
    </w:p>
    <w:p>
      <w:pPr>
        <w:pStyle w:val="Heading3"/>
        <w:ind w:hanging="0" w:start="0"/>
        <w:rPr/>
      </w:pPr>
      <w:bookmarkStart w:id="38" w:name="__RefHeading___Toc450095952"/>
      <w:bookmarkEnd w:id="38"/>
      <w:r>
        <w:rPr/>
        <w:t>Multi-User Considerations</w:t>
      </w:r>
    </w:p>
    <w:p>
      <w:pPr>
        <w:pStyle w:val="Normal"/>
        <w:rPr/>
      </w:pPr>
      <w:r>
        <w:rPr/>
        <w:t>The system must also be able to comfortably handle heavy volumes of concurrent users. Estimates of potential usage will be specified in the Elaboration phase of the project – it is anticipated that the initial rollout may hit 200 or so users, obviously this will increase as more customers use the system.</w:t>
      </w:r>
    </w:p>
    <w:p>
      <w:pPr>
        <w:pStyle w:val="Heading3"/>
        <w:ind w:hanging="0" w:start="0"/>
        <w:rPr/>
      </w:pPr>
      <w:bookmarkStart w:id="39" w:name="__RefHeading___Toc450095953"/>
      <w:bookmarkEnd w:id="39"/>
      <w:r>
        <w:rPr/>
        <w:t>Usage Statistics</w:t>
      </w:r>
    </w:p>
    <w:p>
      <w:pPr>
        <w:pStyle w:val="Normal"/>
        <w:rPr/>
      </w:pPr>
      <w:r>
        <w:rPr/>
        <w:t>The Enron Online system should allow analysis of usage statistics by user ID and page selection.</w:t>
      </w:r>
    </w:p>
    <w:p>
      <w:pPr>
        <w:pStyle w:val="Normal"/>
        <w:rPr/>
      </w:pPr>
      <w:r>
        <w:rPr/>
      </w:r>
    </w:p>
    <w:p>
      <w:pPr>
        <w:pStyle w:val="Heading1"/>
        <w:rPr/>
      </w:pPr>
      <w:bookmarkStart w:id="40" w:name="__RefHeading___Toc450095954"/>
      <w:bookmarkEnd w:id="40"/>
      <w:r>
        <w:rPr/>
        <w:t>Project Sponsors</w:t>
      </w:r>
    </w:p>
    <w:p>
      <w:pPr>
        <w:pStyle w:val="Normal"/>
        <w:rPr/>
      </w:pPr>
      <w:r>
        <w:rPr/>
      </w:r>
    </w:p>
    <w:tbl>
      <w:tblPr>
        <w:tblW w:w="9072" w:type="dxa"/>
        <w:jc w:val="start"/>
        <w:tblInd w:w="108" w:type="dxa"/>
        <w:tblLayout w:type="fixed"/>
        <w:tblCellMar>
          <w:top w:w="0" w:type="dxa"/>
          <w:start w:w="108" w:type="dxa"/>
          <w:bottom w:w="0" w:type="dxa"/>
          <w:end w:w="108" w:type="dxa"/>
        </w:tblCellMar>
      </w:tblPr>
      <w:tblGrid>
        <w:gridCol w:w="4536"/>
        <w:gridCol w:w="4536"/>
      </w:tblGrid>
      <w:tr>
        <w:trPr/>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Business</w:t>
            </w:r>
          </w:p>
        </w:tc>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IT Systems Development</w:t>
            </w:r>
          </w:p>
        </w:tc>
      </w:tr>
      <w:tr>
        <w:trPr/>
        <w:tc>
          <w:tcPr>
            <w:tcW w:w="453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Louise Kitchen</w:t>
            </w:r>
          </w:p>
          <w:p>
            <w:pPr>
              <w:pStyle w:val="Normal"/>
              <w:rPr>
                <w:rFonts w:ascii="Arial" w:hAnsi="Arial" w:cs="Arial"/>
              </w:rPr>
            </w:pPr>
            <w:r>
              <w:rPr>
                <w:rFonts w:cs="Arial" w:ascii="Arial" w:hAnsi="Arial"/>
              </w:rPr>
              <w:t>Vice President, Trading</w:t>
            </w:r>
          </w:p>
          <w:p>
            <w:pPr>
              <w:pStyle w:val="Normal"/>
              <w:rPr>
                <w:rFonts w:ascii="Arial" w:hAnsi="Arial" w:cs="Arial"/>
              </w:rPr>
            </w:pPr>
            <w:r>
              <w:rPr>
                <w:rFonts w:cs="Arial" w:ascii="Arial" w:hAnsi="Arial"/>
              </w:rPr>
            </w:r>
          </w:p>
          <w:p>
            <w:pPr>
              <w:pStyle w:val="Header"/>
              <w:tabs>
                <w:tab w:val="clear" w:pos="4153"/>
                <w:tab w:val="clear" w:pos="8306"/>
              </w:tabs>
              <w:rPr>
                <w:rFonts w:ascii="Arial" w:hAnsi="Arial" w:cs="Arial"/>
              </w:rPr>
            </w:pPr>
            <w:r>
              <w:rPr>
                <w:rFonts w:cs="Arial" w:ascii="Arial" w:hAnsi="Arial"/>
              </w:rPr>
              <w:t>Telephone:</w:t>
              <w:tab/>
              <w:t>+44 (0)171 316 5428</w:t>
            </w:r>
          </w:p>
          <w:p>
            <w:pPr>
              <w:pStyle w:val="Header"/>
              <w:tabs>
                <w:tab w:val="clear" w:pos="4153"/>
                <w:tab w:val="clear" w:pos="8306"/>
              </w:tabs>
              <w:rPr>
                <w:rFonts w:ascii="Arial" w:hAnsi="Arial" w:cs="Arial"/>
              </w:rPr>
            </w:pPr>
            <w:r>
              <w:rPr>
                <w:rFonts w:cs="Arial" w:ascii="Arial" w:hAnsi="Arial"/>
              </w:rPr>
              <w:t>Mobile:</w:t>
              <w:tab/>
              <w:tab/>
              <w:t>+44 (0)378 757 656</w:t>
            </w:r>
          </w:p>
        </w:tc>
        <w:tc>
          <w:tcPr>
            <w:tcW w:w="453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 xml:space="preserve">Beth Perlman </w:t>
            </w:r>
          </w:p>
          <w:p>
            <w:pPr>
              <w:pStyle w:val="Normal"/>
              <w:rPr>
                <w:rFonts w:ascii="Arial" w:hAnsi="Arial" w:cs="Arial"/>
              </w:rPr>
            </w:pPr>
            <w:r>
              <w:rPr>
                <w:rFonts w:cs="Arial" w:ascii="Arial" w:hAnsi="Arial"/>
              </w:rPr>
              <w:t>Senior Director, IT Development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Telephone:</w:t>
              <w:tab/>
              <w:t>+44 (0)171 970 7362</w:t>
            </w:r>
          </w:p>
          <w:p>
            <w:pPr>
              <w:pStyle w:val="Normal"/>
              <w:rPr>
                <w:rFonts w:ascii="Arial" w:hAnsi="Arial" w:cs="Arial"/>
              </w:rPr>
            </w:pPr>
            <w:r>
              <w:rPr>
                <w:rFonts w:cs="Arial" w:ascii="Arial" w:hAnsi="Arial"/>
              </w:rPr>
              <w:t>Mobile:</w:t>
              <w:tab/>
              <w:tab/>
              <w:t>+44 (0)7775 807028</w:t>
            </w:r>
          </w:p>
        </w:tc>
      </w:tr>
    </w:tbl>
    <w:p>
      <w:pPr>
        <w:pStyle w:val="FootnoteText"/>
        <w:rPr/>
      </w:pPr>
      <w:r>
        <w:rPr/>
      </w:r>
    </w:p>
    <w:p>
      <w:pPr>
        <w:pStyle w:val="Normal"/>
        <w:rPr/>
      </w:pPr>
      <w:r>
        <w:rPr/>
      </w:r>
    </w:p>
    <w:p>
      <w:pPr>
        <w:pStyle w:val="Heading1"/>
        <w:rPr/>
      </w:pPr>
      <w:bookmarkStart w:id="41" w:name="__RefHeading___Toc450095955"/>
      <w:bookmarkEnd w:id="41"/>
      <w:r>
        <w:rPr/>
        <w:t>Team Roles &amp; Responsibilities</w:t>
      </w:r>
    </w:p>
    <w:p>
      <w:pPr>
        <w:pStyle w:val="Heading2"/>
        <w:rPr/>
      </w:pPr>
      <w:bookmarkStart w:id="42" w:name="__RefHeading___Toc450095956"/>
      <w:bookmarkEnd w:id="42"/>
      <w:r>
        <w:rPr/>
        <w:t>Click-Trading Specification Group (London)</w:t>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800"/>
        <w:gridCol w:w="3510"/>
        <w:gridCol w:w="1440"/>
        <w:gridCol w:w="2430"/>
      </w:tblGrid>
      <w:tr>
        <w:trPr/>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Name</w:t>
            </w:r>
          </w:p>
        </w:tc>
        <w:tc>
          <w:tcPr>
            <w:tcW w:w="351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Title</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Extension</w:t>
            </w:r>
          </w:p>
        </w:tc>
        <w:tc>
          <w:tcPr>
            <w:tcW w:w="243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Mobile</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Marcello Romano</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t>Director, UK Gas Trading</w:t>
            </w:r>
          </w:p>
        </w:tc>
        <w:tc>
          <w:tcPr>
            <w:tcW w:w="1440" w:type="dxa"/>
            <w:tcBorders>
              <w:top w:val="single" w:sz="6" w:space="0" w:color="000000"/>
              <w:start w:val="single" w:sz="6" w:space="0" w:color="000000"/>
              <w:bottom w:val="single" w:sz="6" w:space="0" w:color="000000"/>
              <w:end w:val="single" w:sz="6" w:space="0" w:color="000000"/>
            </w:tcBorders>
          </w:tcPr>
          <w:p>
            <w:pPr>
              <w:pStyle w:val="Normal"/>
              <w:rPr/>
            </w:pPr>
            <w:r>
              <w:rPr/>
              <w:t>5409</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0468 736 212</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David Port</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t>Gas Controller</w:t>
            </w:r>
          </w:p>
        </w:tc>
        <w:tc>
          <w:tcPr>
            <w:tcW w:w="1440" w:type="dxa"/>
            <w:tcBorders>
              <w:top w:val="single" w:sz="6" w:space="0" w:color="000000"/>
              <w:start w:val="single" w:sz="6" w:space="0" w:color="000000"/>
              <w:bottom w:val="single" w:sz="6" w:space="0" w:color="000000"/>
              <w:end w:val="single" w:sz="6" w:space="0" w:color="000000"/>
            </w:tcBorders>
          </w:tcPr>
          <w:p>
            <w:pPr>
              <w:pStyle w:val="Normal"/>
              <w:rPr/>
            </w:pPr>
            <w:r>
              <w:rPr/>
              <w:t>7304</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0498 501474</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t>IT Consultant</w:t>
            </w:r>
          </w:p>
        </w:tc>
        <w:tc>
          <w:tcPr>
            <w:tcW w:w="1440" w:type="dxa"/>
            <w:tcBorders>
              <w:top w:val="single" w:sz="6" w:space="0" w:color="000000"/>
              <w:start w:val="single" w:sz="6" w:space="0" w:color="000000"/>
              <w:bottom w:val="single" w:sz="6" w:space="0" w:color="000000"/>
              <w:end w:val="single" w:sz="6" w:space="0" w:color="000000"/>
            </w:tcBorders>
          </w:tcPr>
          <w:p>
            <w:pPr>
              <w:pStyle w:val="Normal"/>
              <w:rPr/>
            </w:pPr>
            <w:r>
              <w:rPr/>
              <w:t>6705</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07771 561769</w:t>
            </w:r>
          </w:p>
        </w:tc>
      </w:tr>
    </w:tbl>
    <w:p>
      <w:pPr>
        <w:pStyle w:val="Heading1"/>
        <w:rPr/>
      </w:pPr>
      <w:bookmarkStart w:id="43" w:name="__RefHeading___Toc450095957"/>
      <w:bookmarkEnd w:id="43"/>
      <w:r>
        <w:rPr/>
        <w:t>Document History</w:t>
      </w:r>
    </w:p>
    <w:p>
      <w:pPr>
        <w:pStyle w:val="FootnoteText"/>
        <w:rPr/>
      </w:pPr>
      <w:r>
        <w:rPr/>
      </w:r>
    </w:p>
    <w:tbl>
      <w:tblPr>
        <w:tblW w:w="7758" w:type="dxa"/>
        <w:jc w:val="start"/>
        <w:tblInd w:w="0" w:type="dxa"/>
        <w:tblLayout w:type="fixed"/>
        <w:tblCellMar>
          <w:top w:w="0" w:type="dxa"/>
          <w:start w:w="108" w:type="dxa"/>
          <w:bottom w:w="0" w:type="dxa"/>
          <w:end w:w="108" w:type="dxa"/>
        </w:tblCellMar>
      </w:tblPr>
      <w:tblGrid>
        <w:gridCol w:w="1848"/>
        <w:gridCol w:w="1770"/>
        <w:gridCol w:w="1080"/>
        <w:gridCol w:w="3060"/>
      </w:tblGrid>
      <w:tr>
        <w:trPr/>
        <w:tc>
          <w:tcPr>
            <w:tcW w:w="1848"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Date</w:t>
            </w:r>
          </w:p>
        </w:tc>
        <w:tc>
          <w:tcPr>
            <w:tcW w:w="177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Amended by</w:t>
            </w:r>
          </w:p>
        </w:tc>
        <w:tc>
          <w:tcPr>
            <w:tcW w:w="108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Version</w:t>
            </w:r>
          </w:p>
        </w:tc>
        <w:tc>
          <w:tcPr>
            <w:tcW w:w="306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Details</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27 April 1999</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Draft for discussion</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 xml:space="preserve">28 April 1999 </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Added sub-sections :</w:t>
            </w:r>
          </w:p>
          <w:p>
            <w:pPr>
              <w:pStyle w:val="Normal"/>
              <w:rPr>
                <w:i/>
                <w:i/>
                <w:sz w:val="16"/>
              </w:rPr>
            </w:pPr>
            <w:r>
              <w:rPr>
                <w:i/>
                <w:sz w:val="16"/>
              </w:rPr>
              <w:t>. Enron Trading Book Feeds</w:t>
            </w:r>
          </w:p>
          <w:p>
            <w:pPr>
              <w:pStyle w:val="Normal"/>
              <w:rPr>
                <w:i/>
                <w:i/>
                <w:sz w:val="16"/>
              </w:rPr>
            </w:pPr>
            <w:r>
              <w:rPr>
                <w:i/>
                <w:sz w:val="16"/>
              </w:rPr>
              <w:t>. System Performance</w:t>
            </w:r>
          </w:p>
          <w:p>
            <w:pPr>
              <w:pStyle w:val="Normal"/>
              <w:ind w:start="720" w:end="0"/>
              <w:rPr>
                <w:i/>
                <w:i/>
                <w:sz w:val="16"/>
              </w:rPr>
            </w:pPr>
            <w:r>
              <w:rPr>
                <w:i/>
                <w:sz w:val="16"/>
              </w:rPr>
              <w:t>.1 Scalabilty</w:t>
            </w:r>
          </w:p>
          <w:p>
            <w:pPr>
              <w:pStyle w:val="Normal"/>
              <w:ind w:start="720" w:end="0"/>
              <w:rPr>
                <w:i/>
                <w:i/>
                <w:sz w:val="16"/>
              </w:rPr>
            </w:pPr>
            <w:r>
              <w:rPr>
                <w:i/>
                <w:sz w:val="16"/>
              </w:rPr>
              <w:t>.2 Performance</w:t>
            </w:r>
          </w:p>
          <w:p>
            <w:pPr>
              <w:pStyle w:val="Normal"/>
              <w:ind w:start="720" w:end="0"/>
              <w:rPr>
                <w:i/>
                <w:i/>
                <w:sz w:val="16"/>
              </w:rPr>
            </w:pPr>
            <w:r>
              <w:rPr>
                <w:i/>
                <w:sz w:val="16"/>
              </w:rPr>
              <w:t>.3 Look and Feel</w:t>
            </w:r>
          </w:p>
          <w:p>
            <w:pPr>
              <w:pStyle w:val="FootnoteText"/>
              <w:rPr/>
            </w:pPr>
            <w:r>
              <w:rPr/>
              <w:t>Renumbered :</w:t>
            </w:r>
          </w:p>
          <w:p>
            <w:pPr>
              <w:pStyle w:val="FootnoteText"/>
              <w:rPr>
                <w:i/>
                <w:i/>
                <w:sz w:val="16"/>
              </w:rPr>
            </w:pPr>
            <w:r>
              <w:rPr>
                <w:i/>
                <w:sz w:val="16"/>
              </w:rPr>
              <w:t>Project Sponsors Section</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 xml:space="preserve">28 April 1999 </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David Port</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Made introduction more comprehensive</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 xml:space="preserve">28 April 1999 </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Added sub-sections :</w:t>
            </w:r>
          </w:p>
          <w:p>
            <w:pPr>
              <w:pStyle w:val="Normal"/>
              <w:rPr>
                <w:i/>
                <w:i/>
                <w:sz w:val="16"/>
              </w:rPr>
            </w:pPr>
            <w:r>
              <w:rPr>
                <w:i/>
                <w:sz w:val="16"/>
              </w:rPr>
              <w:t>.Provision of Marketing Information</w:t>
            </w:r>
          </w:p>
          <w:p>
            <w:pPr>
              <w:pStyle w:val="Normal"/>
              <w:rPr>
                <w:i/>
                <w:i/>
                <w:sz w:val="16"/>
              </w:rPr>
            </w:pPr>
            <w:r>
              <w:rPr>
                <w:i/>
                <w:sz w:val="16"/>
              </w:rPr>
              <w:t>.Customer Feedback</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28 April 1999</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Added sub-section :</w:t>
            </w:r>
          </w:p>
          <w:p>
            <w:pPr>
              <w:pStyle w:val="Normal"/>
              <w:rPr>
                <w:i/>
                <w:i/>
                <w:sz w:val="16"/>
              </w:rPr>
            </w:pPr>
            <w:r>
              <w:rPr>
                <w:i/>
                <w:sz w:val="16"/>
              </w:rPr>
              <w:t>.Multi-User Considerations</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28 April 1999</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Added sub-section :</w:t>
            </w:r>
          </w:p>
          <w:p>
            <w:pPr>
              <w:pStyle w:val="Normal"/>
              <w:rPr>
                <w:i/>
                <w:i/>
                <w:sz w:val="16"/>
              </w:rPr>
            </w:pPr>
            <w:r>
              <w:rPr>
                <w:i/>
                <w:sz w:val="16"/>
              </w:rPr>
              <w:t>.Usage Statistics</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29 April 1999</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0.07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Changed footer (Legal Notice)</w:t>
            </w:r>
          </w:p>
          <w:p>
            <w:pPr>
              <w:pStyle w:val="Normal"/>
              <w:rPr/>
            </w:pPr>
            <w:r>
              <w:rPr/>
              <w:t>Amended introduction</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30 April 1999</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Robert Campbell</w:t>
            </w:r>
          </w:p>
        </w:tc>
        <w:tc>
          <w:tcPr>
            <w:tcW w:w="108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Final Draft for User Group Review</w:t>
            </w:r>
          </w:p>
        </w:tc>
      </w:tr>
    </w:tbl>
    <w:p>
      <w:pPr>
        <w:pStyle w:val="FootnoteText"/>
        <w:rPr/>
      </w:pPr>
      <w:r>
        <w:rPr/>
      </w:r>
    </w:p>
    <w:sectPr>
      <w:footerReference w:type="default" r:id="rId3"/>
      <w:type w:val="nextPage"/>
      <w:pgSz w:w="11906" w:h="16838"/>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11</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
        <w:color w:val="000080"/>
        <w:sz w:val="16"/>
      </w:rPr>
      <w:t>Project Phase: Inception</w:t>
      <w:tab/>
      <w:tab/>
      <w:t>Subject to Legal and Regulatory Review</w:t>
      <w:tab/>
      <w:tab/>
      <w:t xml:space="preserve">29 April 1999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pageBreakBefore/>
      <w:numPr>
        <w:ilvl w:val="0"/>
        <w:numId w:val="1"/>
      </w:numPr>
      <w:spacing w:before="240" w:after="240"/>
      <w:ind w:hanging="431" w:start="431" w:end="0"/>
      <w:outlineLvl w:val="0"/>
    </w:pPr>
    <w:rPr>
      <w:b/>
      <w:color w:val="000080"/>
      <w:kern w:val="2"/>
      <w:sz w:val="28"/>
    </w:rPr>
  </w:style>
  <w:style w:type="paragraph" w:styleId="Heading2">
    <w:name w:val="heading 2"/>
    <w:basedOn w:val="Normal"/>
    <w:next w:val="Normal"/>
    <w:qFormat/>
    <w:pPr>
      <w:keepNext w:val="true"/>
      <w:numPr>
        <w:ilvl w:val="1"/>
        <w:numId w:val="1"/>
      </w:numPr>
      <w:spacing w:before="240" w:after="120"/>
      <w:ind w:hanging="578" w:start="578" w:end="0"/>
      <w:outlineLvl w:val="1"/>
    </w:pPr>
    <w:rPr>
      <w:b/>
      <w:color w:val="000080"/>
      <w:sz w:val="24"/>
    </w:rPr>
  </w:style>
  <w:style w:type="paragraph" w:styleId="Heading3">
    <w:name w:val="heading 3"/>
    <w:basedOn w:val="Normal"/>
    <w:next w:val="Normal"/>
    <w:qFormat/>
    <w:pPr>
      <w:keepNext w:val="true"/>
      <w:numPr>
        <w:ilvl w:val="2"/>
        <w:numId w:val="1"/>
      </w:numPr>
      <w:spacing w:before="240" w:after="60"/>
      <w:outlineLvl w:val="2"/>
    </w:pPr>
    <w:rPr>
      <w:b/>
      <w:color w:val="000080"/>
    </w:rPr>
  </w:style>
  <w:style w:type="paragraph" w:styleId="Heading4">
    <w:name w:val="heading 4"/>
    <w:basedOn w:val="Normal"/>
    <w:next w:val="Normal"/>
    <w:qFormat/>
    <w:pPr>
      <w:keepNext w:val="true"/>
      <w:numPr>
        <w:ilvl w:val="3"/>
        <w:numId w:val="1"/>
      </w:numPr>
      <w:outlineLvl w:val="3"/>
    </w:pPr>
    <w:rPr>
      <w:i/>
      <w:color w:val="00008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EndnoteText">
    <w:name w:val="end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spacing w:before="120" w:after="120"/>
    </w:pPr>
    <w:rPr>
      <w:b/>
      <w:i/>
    </w:rPr>
  </w:style>
  <w:style w:type="paragraph" w:styleId="TOC1">
    <w:name w:val="toc 1"/>
    <w:basedOn w:val="Normal"/>
    <w:next w:val="Normal"/>
    <w:pPr>
      <w:tabs>
        <w:tab w:val="clear" w:pos="720"/>
        <w:tab w:val="right" w:pos="9016" w:leader="dot"/>
      </w:tabs>
      <w:spacing w:before="120" w:after="120"/>
    </w:pPr>
    <w:rPr>
      <w:b/>
      <w:caps/>
      <w:lang w:val="en-CA"/>
    </w:rPr>
  </w:style>
  <w:style w:type="paragraph" w:styleId="TOC2">
    <w:name w:val="toc 2"/>
    <w:basedOn w:val="Normal"/>
    <w:next w:val="Normal"/>
    <w:pPr>
      <w:tabs>
        <w:tab w:val="clear" w:pos="720"/>
        <w:tab w:val="right" w:pos="9016" w:leader="dot"/>
      </w:tabs>
      <w:ind w:hanging="0" w:start="200" w:end="0"/>
    </w:pPr>
    <w:rPr>
      <w:smallCaps/>
      <w:lang w:val="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1999-02-23T04:55:00Z</dcterms:created>
  <dc:creator>ABlack1</dc:creator>
  <dc:description/>
  <dc:language>en-CA</dc:language>
  <cp:lastModifiedBy>rcampbel</cp:lastModifiedBy>
  <cp:lastPrinted>1999-04-30T16:12:00Z</cp:lastPrinted>
  <dcterms:modified xsi:type="dcterms:W3CDTF">1999-04-30T12:43:00Z</dcterms:modified>
  <cp:revision>89</cp:revision>
  <dc:subject/>
  <dc:title>Introduction</dc:title>
</cp:coreProperties>
</file>