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284" w:start="0" w:end="0"/>
        <w:jc w:val="both"/>
        <w:rPr>
          <w:sz w:val="24"/>
        </w:rPr>
      </w:pPr>
      <w:r>
        <w:rPr>
          <w:sz w:val="24"/>
        </w:rPr>
      </w:r>
    </w:p>
    <w:p>
      <w:pPr>
        <w:pStyle w:val="Heading1"/>
        <w:ind w:firstLine="284" w:start="0" w:end="0"/>
        <w:jc w:val="both"/>
        <w:rPr>
          <w:sz w:val="24"/>
        </w:rPr>
      </w:pPr>
      <w:r>
        <w:rPr>
          <w:sz w:val="24"/>
        </w:rPr>
      </w:r>
    </w:p>
    <w:p>
      <w:pPr>
        <w:pStyle w:val="Heading1"/>
        <w:ind w:firstLine="284" w:start="0" w:end="0"/>
        <w:rPr>
          <w:sz w:val="24"/>
        </w:rPr>
      </w:pPr>
      <w:r>
        <w:rPr>
          <w:sz w:val="24"/>
        </w:rPr>
      </w:r>
    </w:p>
    <w:p>
      <w:pPr>
        <w:pStyle w:val="Heading1"/>
        <w:ind w:firstLine="284" w:start="0" w:end="0"/>
        <w:rPr>
          <w:sz w:val="24"/>
        </w:rPr>
      </w:pPr>
      <w:r>
        <w:rPr>
          <w:sz w:val="24"/>
        </w:rPr>
        <w:t>ENS COGENERATION POWER PLANT</w:t>
      </w:r>
    </w:p>
    <w:p>
      <w:pPr>
        <w:pStyle w:val="Subtitle"/>
        <w:rPr>
          <w:rFonts w:ascii="Times New Roman" w:hAnsi="Times New Roman" w:cs="Times New Roman"/>
          <w:b/>
        </w:rPr>
      </w:pPr>
      <w:r>
        <w:rPr>
          <w:rFonts w:cs="Times New Roman" w:ascii="Times New Roman" w:hAnsi="Times New Roman"/>
          <w:b/>
        </w:rPr>
        <w:t>General Manager Report</w:t>
      </w:r>
    </w:p>
    <w:p>
      <w:pPr>
        <w:pStyle w:val="Subtitle"/>
        <w:rPr>
          <w:rFonts w:ascii="Times New Roman" w:hAnsi="Times New Roman" w:cs="Times New Roman"/>
          <w:b/>
        </w:rPr>
      </w:pPr>
      <w:r>
        <w:rPr>
          <w:rFonts w:cs="Times New Roman" w:ascii="Times New Roman" w:hAnsi="Times New Roman"/>
          <w:b/>
        </w:rPr>
        <w:t>for the month of May 2001</w:t>
      </w:r>
    </w:p>
    <w:p>
      <w:pPr>
        <w:pStyle w:val="Normal"/>
        <w:ind w:firstLine="284" w:end="0"/>
        <w:jc w:val="both"/>
        <w:rPr>
          <w:rFonts w:ascii="Times New Roman" w:hAnsi="Times New Roman" w:cs="Times New Roman"/>
          <w:b/>
        </w:rPr>
      </w:pPr>
      <w:r>
        <w:rPr>
          <w:rFonts w:cs="Times New Roman"/>
          <w:b/>
        </w:rPr>
      </w:r>
    </w:p>
    <w:p>
      <w:pPr>
        <w:pStyle w:val="Text"/>
        <w:spacing w:before="0" w:after="0"/>
        <w:ind w:firstLine="284" w:end="0"/>
        <w:jc w:val="both"/>
        <w:rPr/>
      </w:pPr>
      <w:r>
        <w:rPr/>
      </w:r>
    </w:p>
    <w:p>
      <w:pPr>
        <w:pStyle w:val="Heading1"/>
        <w:ind w:hanging="0" w:start="0"/>
        <w:jc w:val="start"/>
        <w:rPr>
          <w:sz w:val="24"/>
        </w:rPr>
      </w:pPr>
      <w:r>
        <w:rPr>
          <w:sz w:val="24"/>
        </w:rPr>
        <w:t>1.</w:t>
        <w:tab/>
        <w:t>Operational issues.</w:t>
      </w:r>
    </w:p>
    <w:p>
      <w:pPr>
        <w:pStyle w:val="BodyText"/>
        <w:ind w:firstLine="284" w:end="-1008"/>
        <w:rPr>
          <w:sz w:val="24"/>
        </w:rPr>
      </w:pPr>
      <w:r>
        <w:rPr>
          <w:sz w:val="24"/>
        </w:rPr>
      </w:r>
    </w:p>
    <w:p>
      <w:pPr>
        <w:pStyle w:val="Normal"/>
        <w:ind w:firstLine="284" w:end="0"/>
        <w:jc w:val="both"/>
        <w:rPr/>
      </w:pPr>
      <w:r>
        <w:rPr/>
        <w:t xml:space="preserve">The scheduled outage of the Plant was finished on May 21 at 11 a.m. During outage the main scope of works was carried out, but after it 3 Facility Punchlist items remain open. These are: </w:t>
      </w:r>
    </w:p>
    <w:p>
      <w:pPr>
        <w:pStyle w:val="Normal"/>
        <w:ind w:firstLine="284" w:start="360" w:end="0"/>
        <w:jc w:val="both"/>
        <w:rPr/>
      </w:pPr>
      <w:r>
        <w:rPr/>
        <w:t>FPL#353 – Water Cooling Tower under performance,</w:t>
      </w:r>
    </w:p>
    <w:p>
      <w:pPr>
        <w:pStyle w:val="Normal"/>
        <w:ind w:firstLine="284" w:start="360" w:end="0"/>
        <w:jc w:val="both"/>
        <w:rPr/>
      </w:pPr>
      <w:r>
        <w:rPr/>
        <w:t>FPL#471 – Steam Turbine rotor replacement,</w:t>
      </w:r>
    </w:p>
    <w:p>
      <w:pPr>
        <w:pStyle w:val="Normal"/>
        <w:ind w:firstLine="284" w:start="360" w:end="0"/>
        <w:jc w:val="both"/>
        <w:rPr/>
      </w:pPr>
      <w:r>
        <w:rPr/>
        <w:t>FPL#509 – steam conductivity.</w:t>
      </w:r>
    </w:p>
    <w:p>
      <w:pPr>
        <w:pStyle w:val="Normal"/>
        <w:ind w:firstLine="284" w:end="0"/>
        <w:jc w:val="both"/>
        <w:rPr/>
      </w:pPr>
      <w:r>
        <w:rPr/>
        <w:t xml:space="preserve">The water temperature after WCT is about 2 degrees C higher than from WCT performance curves. </w:t>
      </w:r>
    </w:p>
    <w:p>
      <w:pPr>
        <w:pStyle w:val="Normal"/>
        <w:ind w:firstLine="284" w:end="0"/>
        <w:jc w:val="both"/>
        <w:rPr/>
      </w:pPr>
      <w:r>
        <w:rPr/>
        <w:t>The ST control system is not working properly after the rotor replacement – ST is running in pressure control mode, not in sliding mode as required by the original technical specification.</w:t>
      </w:r>
    </w:p>
    <w:p>
      <w:pPr>
        <w:pStyle w:val="Normal"/>
        <w:ind w:firstLine="284" w:end="0"/>
        <w:jc w:val="both"/>
        <w:rPr/>
      </w:pPr>
      <w:r>
        <w:rPr/>
        <w:t>The steam conductivity is above permissible level due to high organic content in water after demineralisation plant.</w:t>
      </w:r>
    </w:p>
    <w:p>
      <w:pPr>
        <w:pStyle w:val="Tekstpodstawowy3"/>
        <w:ind w:firstLine="284" w:end="0"/>
        <w:rPr/>
      </w:pPr>
      <w:r>
        <w:rPr/>
        <w:t>After outage some important Warranty Claims are still open. These are:</w:t>
      </w:r>
    </w:p>
    <w:p>
      <w:pPr>
        <w:pStyle w:val="Normal"/>
        <w:numPr>
          <w:ilvl w:val="0"/>
          <w:numId w:val="2"/>
        </w:numPr>
        <w:jc w:val="both"/>
        <w:rPr/>
      </w:pPr>
      <w:r>
        <w:rPr/>
        <w:t>WC#299 – CO emission on GT11. After implementation the new control curves CO emission is still above the contractual level – 27 ppm against 18 ppm required. During the last five days the subcontractors representatives conducted the measuring runs and collected the additional information for further evaluation.</w:t>
      </w:r>
    </w:p>
    <w:p>
      <w:pPr>
        <w:pStyle w:val="Normal"/>
        <w:numPr>
          <w:ilvl w:val="0"/>
          <w:numId w:val="3"/>
        </w:numPr>
        <w:jc w:val="both"/>
        <w:rPr/>
      </w:pPr>
      <w:r>
        <w:rPr/>
        <w:t>WC#222 – fuel oil leakage on GT11 and GT12. During the outage all fuel oil pipes were replaced but the final tests were not performed because the failures found on fuel oil nozzles No 10 on both machines. The spare parts should be delivered before the end of June. Back up fuel is blocked on both machines.</w:t>
      </w:r>
    </w:p>
    <w:p>
      <w:pPr>
        <w:pStyle w:val="Normal"/>
        <w:numPr>
          <w:ilvl w:val="0"/>
          <w:numId w:val="3"/>
        </w:numPr>
        <w:jc w:val="both"/>
        <w:rPr/>
      </w:pPr>
      <w:r>
        <w:rPr/>
        <w:t>WC#043 – LP and HP HRSGs silencers. The all four silencers were replaced during the outage but the noise measurements conducted during the facility start up confirmed the noise above the acceptable level. Additional improvements have to be done after the next run of tests.</w:t>
      </w:r>
    </w:p>
    <w:p>
      <w:pPr>
        <w:pStyle w:val="Normal"/>
        <w:ind w:firstLine="284" w:end="0"/>
        <w:jc w:val="both"/>
        <w:rPr/>
      </w:pPr>
      <w:r>
        <w:rPr/>
        <w:t xml:space="preserve">Due to contractual requirements relating to the New Steam Turbine Rotor Agreement the Output and Heat Rate Test was conducted on 21 May from 18:45 to 21:45. The averaged results of three test runs on natural gas indicated that the Facility is performing better than the requirements of the contract. The output is </w:t>
      </w:r>
      <w:r>
        <w:rPr>
          <w:b/>
        </w:rPr>
        <w:t>115 230 kW</w:t>
      </w:r>
      <w:r>
        <w:rPr/>
        <w:t xml:space="preserve"> which is 3.44% better than the Specific Guaranteed output and </w:t>
      </w:r>
      <w:r>
        <w:rPr>
          <w:b/>
        </w:rPr>
        <w:t>8338 BTU/kWh</w:t>
      </w:r>
      <w:r>
        <w:rPr/>
        <w:t xml:space="preserve"> HHV which is 2.6% better than the Specific Guaranteed heat rate. However, both these results are lower than the Performance Guarantees.</w:t>
      </w:r>
    </w:p>
    <w:p>
      <w:pPr>
        <w:pStyle w:val="Normal"/>
        <w:jc w:val="both"/>
        <w:rPr/>
      </w:pPr>
      <w:r>
        <w:rPr/>
        <w:t>The Electrical Output and Heat Rate tests preliminary report was rejected by ENS because of non-compliance with CO emission according to Performance Test Procedures revision G.</w:t>
      </w:r>
    </w:p>
    <w:p>
      <w:pPr>
        <w:pStyle w:val="BodyText"/>
        <w:ind w:firstLine="284" w:end="-2"/>
        <w:jc w:val="both"/>
        <w:rPr/>
      </w:pPr>
      <w:r>
        <w:rPr/>
        <w:t>The electrical energy production in May was 29 853 MWh - monthly target was not met by 4587 MWh because of under production during re-commissioning after outage.</w:t>
      </w:r>
    </w:p>
    <w:p>
      <w:pPr>
        <w:pStyle w:val="BodyText"/>
        <w:ind w:firstLine="284" w:end="-2"/>
        <w:jc w:val="both"/>
        <w:rPr/>
      </w:pPr>
      <w:r>
        <w:rPr/>
        <w:t>The overall thermal energy production to Organika and to the City of Nowa Sarzyna was equal to 20 621 GJ. Till the end of outage the whole heat was delivered from the auxiliary boilers without any troubles. IP steam temperature in the tie in point was below the contractual limit – 250C, when produced in IP Aux Boiler. This problem is covered by Warranty Claim No 092, but the Contractor did nothing to solve this issue during outage.</w:t>
      </w:r>
    </w:p>
    <w:p>
      <w:pPr>
        <w:pStyle w:val="BodyText"/>
        <w:ind w:firstLine="284" w:end="-2"/>
        <w:jc w:val="both"/>
        <w:rPr/>
      </w:pPr>
      <w:r>
        <w:rPr/>
        <w:t>The corrected Heat Rate for April was equal to 8859,6 kJ/kWh. Average heat rate deviated from guaranteed by 2,0 %. Gas  consumption  was 7 299 084 Nm3. The daily operational reports were e-mailed every day to London.</w:t>
      </w:r>
    </w:p>
    <w:p>
      <w:pPr>
        <w:pStyle w:val="Normal"/>
        <w:tabs>
          <w:tab w:val="clear" w:pos="708"/>
          <w:tab w:val="left" w:pos="9070" w:leader="none"/>
        </w:tabs>
        <w:ind w:firstLine="284" w:end="-2"/>
        <w:jc w:val="both"/>
        <w:rPr/>
      </w:pPr>
      <w:r>
        <w:rPr/>
      </w:r>
    </w:p>
    <w:p>
      <w:pPr>
        <w:pStyle w:val="Lista2"/>
        <w:tabs>
          <w:tab w:val="clear" w:pos="708"/>
          <w:tab w:val="left" w:pos="9070" w:leader="none"/>
        </w:tabs>
        <w:ind w:firstLine="283" w:start="0" w:end="-2"/>
        <w:jc w:val="both"/>
        <w:rPr/>
      </w:pPr>
      <w:r>
        <w:rPr/>
        <w:t>There was no safety incident during the month of May. All subcontractors workers left the plant. We are back to operational HSE rules.</w:t>
      </w:r>
    </w:p>
    <w:p>
      <w:pPr>
        <w:pStyle w:val="Heading1"/>
        <w:ind w:hanging="0" w:start="0"/>
        <w:jc w:val="start"/>
        <w:rPr>
          <w:sz w:val="24"/>
        </w:rPr>
      </w:pPr>
      <w:r>
        <w:rPr>
          <w:sz w:val="24"/>
        </w:rPr>
      </w:r>
    </w:p>
    <w:p>
      <w:pPr>
        <w:pStyle w:val="Heading1"/>
        <w:ind w:hanging="0" w:start="0"/>
        <w:jc w:val="start"/>
        <w:rPr>
          <w:sz w:val="24"/>
        </w:rPr>
      </w:pPr>
      <w:r>
        <w:rPr>
          <w:sz w:val="24"/>
        </w:rPr>
        <w:t>2.</w:t>
        <w:tab/>
        <w:t>Financial Issues.</w:t>
      </w:r>
    </w:p>
    <w:p>
      <w:pPr>
        <w:pStyle w:val="Normal"/>
        <w:jc w:val="both"/>
        <w:rPr>
          <w:sz w:val="24"/>
        </w:rPr>
      </w:pPr>
      <w:r>
        <w:rPr>
          <w:sz w:val="24"/>
        </w:rPr>
      </w:r>
    </w:p>
    <w:p>
      <w:pPr>
        <w:pStyle w:val="Heading2"/>
        <w:ind w:hanging="0" w:start="0"/>
        <w:rPr>
          <w:b w:val="false"/>
          <w:sz w:val="24"/>
        </w:rPr>
      </w:pPr>
      <w:r>
        <w:rPr>
          <w:b w:val="false"/>
          <w:sz w:val="24"/>
        </w:rPr>
        <w:t>2.1.</w:t>
        <w:tab/>
        <w:t xml:space="preserve">Sales </w:t>
      </w:r>
    </w:p>
    <w:p>
      <w:pPr>
        <w:pStyle w:val="Normal"/>
        <w:tabs>
          <w:tab w:val="clear" w:pos="708"/>
          <w:tab w:val="left" w:pos="8505" w:leader="none"/>
        </w:tabs>
        <w:jc w:val="both"/>
        <w:rPr>
          <w:b/>
          <w:sz w:val="24"/>
        </w:rPr>
      </w:pPr>
      <w:r>
        <w:rPr>
          <w:b/>
          <w:sz w:val="24"/>
        </w:rPr>
      </w:r>
    </w:p>
    <w:p>
      <w:pPr>
        <w:pStyle w:val="Normal"/>
        <w:ind w:firstLine="284" w:end="0"/>
        <w:jc w:val="both"/>
        <w:rPr/>
      </w:pPr>
      <w:r>
        <w:rPr/>
        <w:t>Sales for May were PLN 6.9 million – PSE PLN 6.3 million, Organika PLN 0,5 million and City of Nowa Sarzyna PLN 0.1 million.</w:t>
      </w:r>
      <w:r>
        <w:rPr>
          <w:sz w:val="22"/>
        </w:rPr>
        <w:t xml:space="preserve"> </w:t>
      </w:r>
      <w:r>
        <w:rPr/>
        <w:t>These figures are much lower than</w:t>
      </w:r>
      <w:r>
        <w:rPr>
          <w:sz w:val="22"/>
        </w:rPr>
        <w:t xml:space="preserve"> </w:t>
      </w:r>
      <w:r>
        <w:rPr/>
        <w:t>in full month of operation. PSE did not pay accordingly to the amended ENS electricity tariff and was still recalculating our invoices back to the old tariff level and there are some PLN 4.9 million outstanding because of this. PSE confirmed that they will pay full due amounts when its new electricity tariff will be approved by the President of ERA. PSE refused also to accept the existence of our charges for late payment (PLN 0.45 million totally in year 2000). Organika and Nowa Sarzyna still continue to pay well with no timing problems.</w:t>
      </w:r>
    </w:p>
    <w:p>
      <w:pPr>
        <w:pStyle w:val="BodyText"/>
        <w:ind w:firstLine="284" w:end="-2"/>
        <w:jc w:val="both"/>
        <w:rPr/>
      </w:pPr>
      <w:r>
        <w:rPr/>
        <w:t xml:space="preserve">The cash situation is very good – we had $6.1 million banked at month-end. This includes $1.95 of Settlement Agreement cash and $0.5 million as security for ST rotor VAT. This was after loan repayments of $2.27 million and an extra two weeks interest of $0.3 million. </w:t>
      </w:r>
    </w:p>
    <w:p>
      <w:pPr>
        <w:pStyle w:val="Tekstpodstawowy3"/>
        <w:rPr/>
      </w:pPr>
      <w:r>
        <w:rPr/>
      </w:r>
    </w:p>
    <w:p>
      <w:pPr>
        <w:pStyle w:val="Tekstpodstawowy3"/>
        <w:rPr/>
      </w:pPr>
      <w:r>
        <w:rPr/>
        <w:t>2.2. Accounting &amp; VAT.</w:t>
      </w:r>
    </w:p>
    <w:p>
      <w:pPr>
        <w:pStyle w:val="Tekstpodstawowy3"/>
        <w:rPr/>
      </w:pPr>
      <w:r>
        <w:rPr/>
      </w:r>
    </w:p>
    <w:p>
      <w:pPr>
        <w:pStyle w:val="Normal"/>
        <w:ind w:firstLine="284" w:end="0"/>
        <w:jc w:val="both"/>
        <w:rPr/>
      </w:pPr>
      <w:r>
        <w:rPr/>
        <w:t>The audit for year 2000 is finished. The Supervisory Board accepted the accounts on May 25</w:t>
      </w:r>
      <w:r>
        <w:rPr>
          <w:vertAlign w:val="superscript"/>
        </w:rPr>
        <w:t>th</w:t>
      </w:r>
      <w:r>
        <w:rPr/>
        <w:t>. All necessary documents were sent to London in order to convene the Ordinary Shareholder Meeting finally closing the financial year 2000.</w:t>
      </w:r>
    </w:p>
    <w:p>
      <w:pPr>
        <w:pStyle w:val="Normal"/>
        <w:ind w:firstLine="284" w:end="0"/>
        <w:jc w:val="both"/>
        <w:rPr/>
      </w:pPr>
      <w:r>
        <w:rPr/>
        <w:t xml:space="preserve">Work continued on the Settlement Agreement as we tried to define further the tax and customs implications. A meeting was held with senior customs officials in Przemysl where we explained to them the necessity of custom value increase of the delivered equipment, what will cancel the VAT payment for it. Deloitte and Touche are helping us through these issues and we are gradually getting the required documentation together. June may see us finally paying over the $1.95 million but it depends on how and when the issue of Final Completion is resolved. </w:t>
      </w:r>
    </w:p>
    <w:p>
      <w:pPr>
        <w:pStyle w:val="Normal"/>
        <w:ind w:firstLine="284" w:end="0"/>
        <w:jc w:val="both"/>
        <w:rPr/>
      </w:pPr>
      <w:r>
        <w:rPr/>
        <w:t>On May 23</w:t>
      </w:r>
      <w:r>
        <w:rPr>
          <w:vertAlign w:val="superscript"/>
        </w:rPr>
        <w:t>rd</w:t>
      </w:r>
      <w:r>
        <w:rPr/>
        <w:t xml:space="preserve"> we received notification from PSE that they were sending auditors to check our investment costs which they are allowed to do under the provisions of the Power Delivery Agreement. These people arrived on May 28</w:t>
      </w:r>
      <w:r>
        <w:rPr>
          <w:vertAlign w:val="superscript"/>
        </w:rPr>
        <w:t>th</w:t>
      </w:r>
      <w:r>
        <w:rPr/>
        <w:t xml:space="preserve"> and we gave them necessary information</w:t>
      </w:r>
      <w:r>
        <w:rPr>
          <w:sz w:val="22"/>
        </w:rPr>
        <w:t xml:space="preserve">  </w:t>
      </w:r>
    </w:p>
    <w:p>
      <w:pPr>
        <w:pStyle w:val="Tekstpodstawowy3"/>
        <w:ind w:firstLine="284" w:end="0"/>
        <w:rPr/>
      </w:pPr>
      <w:r>
        <w:rPr/>
        <w:t xml:space="preserve">The question of VAT on our un-taken gas still continues to be unresolved. In April the tax authority in Lezajsk wrote saying that they would inform by the end of May as to the status of the VAT – nothing has been forthcoming. </w:t>
      </w:r>
    </w:p>
    <w:p>
      <w:pPr>
        <w:pStyle w:val="Heading2"/>
        <w:ind w:hanging="0" w:start="0"/>
        <w:rPr>
          <w:b w:val="false"/>
          <w:sz w:val="24"/>
        </w:rPr>
      </w:pPr>
      <w:r>
        <w:rPr>
          <w:b w:val="false"/>
          <w:sz w:val="24"/>
        </w:rPr>
      </w:r>
    </w:p>
    <w:p>
      <w:pPr>
        <w:pStyle w:val="Heading2"/>
        <w:ind w:hanging="0" w:start="0"/>
        <w:rPr>
          <w:b w:val="false"/>
          <w:sz w:val="24"/>
        </w:rPr>
      </w:pPr>
      <w:r>
        <w:rPr>
          <w:b w:val="false"/>
          <w:sz w:val="24"/>
        </w:rPr>
        <w:t>2.3.</w:t>
        <w:tab/>
        <w:t>Other issues</w:t>
      </w:r>
    </w:p>
    <w:p>
      <w:pPr>
        <w:pStyle w:val="BodyText"/>
        <w:jc w:val="both"/>
        <w:rPr/>
      </w:pPr>
      <w:r>
        <w:rPr/>
        <w:t xml:space="preserve">         </w:t>
      </w:r>
    </w:p>
    <w:p>
      <w:pPr>
        <w:pStyle w:val="Tekstpodstawowy3"/>
        <w:ind w:firstLine="284" w:end="0"/>
        <w:rPr/>
      </w:pPr>
      <w:r>
        <w:rPr/>
        <w:t xml:space="preserve">POGC was continuing to invoice gas in May at the Fuel Supply Agreement price (160.72 $/1000m3) but we continued to pay at the gas tariff price. As of end of April the difference between amounts invoiced and paid was about PLN </w:t>
      </w:r>
      <w:r>
        <w:rPr>
          <w:color w:val="000000"/>
          <w:lang w:val="pl-PL" w:eastAsia="pl-PL"/>
        </w:rPr>
        <w:t xml:space="preserve">35.7 </w:t>
      </w:r>
      <w:r>
        <w:rPr/>
        <w:t xml:space="preserve">million (including the invoices for the unused gas in year 2000). </w:t>
      </w:r>
    </w:p>
    <w:p>
      <w:pPr>
        <w:pStyle w:val="Tekstpodstawowy3"/>
        <w:ind w:firstLine="284" w:end="0"/>
        <w:rPr/>
      </w:pPr>
      <w:r>
        <w:rPr/>
        <w:t>As a result of the meeting with the representatives of the Ministry of Economy, WestLB, Enron Poland which was held on April 18 the letter dated May 7, 2001, was sent from the Vice-Minister of Economy to the President of ERA requesting his action in this matter. Till now no actions were made. We prepared the letter requesting solving problems between ENS and POGC and it will be sent at the beginning of this week.</w:t>
      </w:r>
    </w:p>
    <w:p>
      <w:pPr>
        <w:pStyle w:val="Tekstpodstawowy3"/>
        <w:ind w:firstLine="284" w:end="0"/>
        <w:rPr/>
      </w:pPr>
      <w:r>
        <w:rPr/>
        <w:t>The amendment to the heat tariff was published in the Regional Bulletin and we informed Organika and City of Nowa Sarzyna that from May 26 new, higher heat prices would be applied.</w:t>
      </w:r>
    </w:p>
    <w:p>
      <w:pPr>
        <w:pStyle w:val="Heading1"/>
        <w:ind w:hanging="0" w:start="0"/>
        <w:jc w:val="start"/>
        <w:rPr>
          <w:sz w:val="24"/>
        </w:rPr>
      </w:pPr>
      <w:r>
        <w:rPr>
          <w:sz w:val="24"/>
        </w:rPr>
      </w:r>
    </w:p>
    <w:p>
      <w:pPr>
        <w:pStyle w:val="Heading1"/>
        <w:ind w:hanging="0" w:start="0"/>
        <w:jc w:val="start"/>
        <w:rPr>
          <w:sz w:val="24"/>
        </w:rPr>
      </w:pPr>
      <w:r>
        <w:rPr>
          <w:sz w:val="24"/>
        </w:rPr>
        <w:t>3.</w:t>
        <w:tab/>
        <w:t>Other issues.</w:t>
      </w:r>
    </w:p>
    <w:p>
      <w:pPr>
        <w:pStyle w:val="BodyText"/>
        <w:ind w:end="-2"/>
        <w:jc w:val="both"/>
        <w:rPr>
          <w:b/>
          <w:sz w:val="24"/>
        </w:rPr>
      </w:pPr>
      <w:r>
        <w:rPr>
          <w:b/>
          <w:sz w:val="24"/>
        </w:rPr>
      </w:r>
    </w:p>
    <w:p>
      <w:pPr>
        <w:pStyle w:val="BodyText"/>
        <w:ind w:firstLine="284" w:end="-2"/>
        <w:jc w:val="both"/>
        <w:rPr/>
      </w:pPr>
      <w:r>
        <w:rPr/>
        <w:t xml:space="preserve">On June 1, 2001, we have got the Final Completion Certificate from Contractor. According to Installation Contract we are obliged to accept or reject it within 10 days. The FC Certificate was sent to Mott MacDonald for their review and they sent us their remarks and statement that the FC Certificate should be rejected until all Contractor’s obligation have been met. </w:t>
      </w:r>
    </w:p>
    <w:p>
      <w:pPr>
        <w:pStyle w:val="BodyText"/>
        <w:ind w:firstLine="284" w:end="-2"/>
        <w:jc w:val="both"/>
        <w:rPr/>
      </w:pPr>
      <w:r>
        <w:rPr/>
        <w:t>The Annex No 1 to the TESA with Organika was agreed and sent to Organika for their signatures, what didn’t happen, but Organika confirmed that they would sign it in this week.</w:t>
      </w:r>
    </w:p>
    <w:p>
      <w:pPr>
        <w:pStyle w:val="BodyText"/>
        <w:ind w:firstLine="284" w:end="-2"/>
        <w:jc w:val="both"/>
        <w:rPr/>
      </w:pPr>
      <w:r>
        <w:rPr/>
        <w:t>The final version of Annex No 7 to the PPA after long internal discussion and with PSE was sent to PSE for its signatures after the PSE’s Board approval.</w:t>
      </w:r>
    </w:p>
    <w:p>
      <w:pPr>
        <w:pStyle w:val="Normal"/>
        <w:ind w:firstLine="284" w:end="0"/>
        <w:jc w:val="both"/>
        <w:rPr>
          <w:lang w:val="en-US"/>
        </w:rPr>
      </w:pPr>
      <w:r>
        <w:rPr>
          <w:lang w:val="en-US"/>
        </w:rPr>
        <w:t>Organika sent their remarks to the annex to Site Services Agreement with regard to the return condensate. They were sent to lawyers to London for its final approval.</w:t>
      </w:r>
    </w:p>
    <w:p>
      <w:pPr>
        <w:pStyle w:val="Normal"/>
        <w:ind w:firstLine="284" w:end="0"/>
        <w:jc w:val="both"/>
        <w:rPr/>
      </w:pPr>
      <w:r>
        <w:rPr>
          <w:lang w:val="en-US"/>
        </w:rPr>
        <w:t>The Annex No 3 to the Appendix No2 of the FSA regarding changes in composition of the authorized persons and telephone communication was signed by POGC, but we didn’t sign it because we are waiting for the document showing the power of attorney of signatories from POGC side.</w:t>
      </w:r>
    </w:p>
    <w:p>
      <w:pPr>
        <w:pStyle w:val="Heading2"/>
        <w:ind w:hanging="0" w:start="0"/>
        <w:rPr>
          <w:b w:val="false"/>
          <w:sz w:val="22"/>
          <w:lang w:val="en-US"/>
        </w:rPr>
      </w:pPr>
      <w:r>
        <w:rPr>
          <w:b w:val="false"/>
          <w:sz w:val="22"/>
          <w:lang w:val="en-US"/>
        </w:rPr>
      </w:r>
    </w:p>
    <w:p>
      <w:pPr>
        <w:pStyle w:val="Heading2"/>
        <w:ind w:hanging="0" w:start="0"/>
        <w:rPr>
          <w:b w:val="false"/>
          <w:sz w:val="22"/>
        </w:rPr>
      </w:pPr>
      <w:r>
        <w:rPr>
          <w:b w:val="false"/>
          <w:sz w:val="22"/>
        </w:rPr>
      </w:r>
    </w:p>
    <w:p>
      <w:pPr>
        <w:pStyle w:val="Heading2"/>
        <w:ind w:hanging="0" w:start="0"/>
        <w:rPr>
          <w:b w:val="false"/>
          <w:sz w:val="24"/>
        </w:rPr>
      </w:pPr>
      <w:r>
        <w:rPr>
          <w:b w:val="false"/>
          <w:sz w:val="24"/>
        </w:rPr>
        <w:t>Nowa Sarzyna, June 6, 2001</w:t>
      </w:r>
    </w:p>
    <w:p>
      <w:pPr>
        <w:pStyle w:val="Normal"/>
        <w:ind w:firstLine="284" w:end="0"/>
        <w:jc w:val="both"/>
        <w:rPr>
          <w:b/>
          <w:sz w:val="24"/>
        </w:rPr>
      </w:pPr>
      <w:r>
        <w:rPr>
          <w:b/>
          <w:sz w:val="24"/>
        </w:rPr>
      </w:r>
    </w:p>
    <w:p>
      <w:pPr>
        <w:pStyle w:val="Normal"/>
        <w:ind w:firstLine="284" w:end="0"/>
        <w:jc w:val="both"/>
        <w:rPr/>
      </w:pPr>
      <w:r>
        <w:rPr/>
      </w:r>
    </w:p>
    <w:p>
      <w:pPr>
        <w:pStyle w:val="Lista2"/>
        <w:rPr/>
      </w:pPr>
      <w:r>
        <w:rPr/>
        <w:t>Jacek Dreżewski</w:t>
      </w:r>
    </w:p>
    <w:p>
      <w:pPr>
        <w:pStyle w:val="Lista2"/>
        <w:rPr/>
      </w:pPr>
      <w:r>
        <w:rPr/>
        <w:t>General Manager</w:t>
        <w:tab/>
      </w:r>
    </w:p>
    <w:p>
      <w:pPr>
        <w:pStyle w:val="Normal"/>
        <w:ind w:firstLine="284" w:end="0"/>
        <w:jc w:val="both"/>
        <w:rPr/>
      </w:pPr>
      <w:r>
        <w:rPr/>
      </w:r>
    </w:p>
    <w:sectPr>
      <w:footerReference w:type="default" r:id="rId2"/>
      <w:footerReference w:type="first" r:id="rId3"/>
      <w:type w:val="nextPage"/>
      <w:pgSz w:w="11906" w:h="16838"/>
      <w:pgMar w:left="1418" w:right="1418" w:gutter="0" w:header="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PL">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3.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b/>
      <w:sz w:val="20"/>
    </w:rPr>
  </w:style>
  <w:style w:type="paragraph" w:styleId="Heading3">
    <w:name w:val="heading 3"/>
    <w:basedOn w:val="Normal"/>
    <w:next w:val="Normal"/>
    <w:qFormat/>
    <w:pPr>
      <w:keepNext w:val="true"/>
      <w:numPr>
        <w:ilvl w:val="2"/>
        <w:numId w:val="1"/>
      </w:numPr>
      <w:ind w:hanging="0" w:start="45" w:end="0"/>
      <w:outlineLvl w:val="2"/>
    </w:pPr>
    <w:rPr>
      <w:u w:val="single"/>
    </w:rPr>
  </w:style>
  <w:style w:type="paragraph" w:styleId="Heading4">
    <w:name w:val="heading 4"/>
    <w:basedOn w:val="Normal"/>
    <w:next w:val="Normal"/>
    <w:qFormat/>
    <w:pPr>
      <w:keepNext w:val="true"/>
      <w:numPr>
        <w:ilvl w:val="3"/>
        <w:numId w:val="1"/>
      </w:numPr>
      <w:outlineLvl w:val="3"/>
    </w:pPr>
    <w:rPr>
      <w:lang w:val="pl-PL"/>
    </w:rPr>
  </w:style>
  <w:style w:type="paragraph" w:styleId="Heading5">
    <w:name w:val="heading 5"/>
    <w:basedOn w:val="Normal"/>
    <w:next w:val="Normal"/>
    <w:qFormat/>
    <w:pPr>
      <w:keepNext w:val="true"/>
      <w:numPr>
        <w:ilvl w:val="4"/>
        <w:numId w:val="1"/>
      </w:numPr>
      <w:outlineLvl w:val="4"/>
    </w:pPr>
    <w:rPr/>
  </w:style>
  <w:style w:type="paragraph" w:styleId="Heading6">
    <w:name w:val="heading 6"/>
    <w:basedOn w:val="Normal"/>
    <w:next w:val="Normal"/>
    <w:qFormat/>
    <w:pPr>
      <w:keepNext w:val="true"/>
      <w:numPr>
        <w:ilvl w:val="5"/>
        <w:numId w:val="1"/>
      </w:numPr>
      <w:outlineLvl w:val="5"/>
    </w:pPr>
    <w:rPr>
      <w:rFonts w:ascii="Times New Roman PL;Times New Roman" w:hAnsi="Times New Roman PL;Times New Roman" w:cs="Times New Roman PL;Times New Roman"/>
      <w:b/>
    </w:rPr>
  </w:style>
  <w:style w:type="paragraph" w:styleId="Heading7">
    <w:name w:val="heading 7"/>
    <w:basedOn w:val="Normal"/>
    <w:next w:val="Normal"/>
    <w:qFormat/>
    <w:pPr>
      <w:keepNext w:val="true"/>
      <w:numPr>
        <w:ilvl w:val="6"/>
        <w:numId w:val="1"/>
      </w:numPr>
      <w:ind w:hanging="0" w:start="45" w:end="0"/>
      <w:outlineLvl w:val="6"/>
    </w:pPr>
    <w:rPr/>
  </w:style>
  <w:style w:type="paragraph" w:styleId="Heading8">
    <w:name w:val="heading 8"/>
    <w:basedOn w:val="Normal"/>
    <w:next w:val="Normal"/>
    <w:qFormat/>
    <w:pPr>
      <w:keepNext w:val="true"/>
      <w:numPr>
        <w:ilvl w:val="7"/>
        <w:numId w:val="1"/>
      </w:numPr>
      <w:ind w:hanging="0" w:start="0" w:end="-2"/>
      <w:jc w:val="both"/>
      <w:outlineLvl w:val="7"/>
    </w:pPr>
    <w:rPr>
      <w:rFonts w:ascii="Arial" w:hAnsi="Arial" w:cs="Arial"/>
      <w:b/>
      <w:color w:val="000000"/>
      <w:lang w:eastAsia="pl-PL"/>
    </w:rPr>
  </w:style>
  <w:style w:type="paragraph" w:styleId="Heading9">
    <w:name w:val="heading 9"/>
    <w:basedOn w:val="Normal"/>
    <w:next w:val="Normal"/>
    <w:qFormat/>
    <w:pPr>
      <w:keepNext w:val="true"/>
      <w:numPr>
        <w:ilvl w:val="8"/>
        <w:numId w:val="1"/>
      </w:numPr>
      <w:outlineLvl w:val="8"/>
    </w:pPr>
    <w:rPr>
      <w:rFonts w:ascii="Arial" w:hAnsi="Arial" w:cs="Arial"/>
      <w:b/>
      <w:color w:val="000000"/>
      <w:lang w:val="pl-PL" w:eastAsia="pl-PL"/>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Symbol" w:hAnsi="Symbol" w:cs="Symbol"/>
      <w:color w:val="auto"/>
    </w:rPr>
  </w:style>
  <w:style w:type="character" w:styleId="WW8Num13z0">
    <w:name w:val="WW8Num13z0"/>
    <w:qFormat/>
    <w:rPr/>
  </w:style>
  <w:style w:type="character" w:styleId="WW8Num14z0">
    <w:name w:val="WW8Num14z0"/>
    <w:qFormat/>
    <w:rPr/>
  </w:style>
  <w:style w:type="character" w:styleId="WW8Num15z0">
    <w:name w:val="WW8Num15z0"/>
    <w:qFormat/>
    <w:rPr>
      <w:u w:val="single"/>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color w:val="auto"/>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color w:val="auto"/>
    </w:rPr>
  </w:style>
  <w:style w:type="character" w:styleId="WW8Num94z0">
    <w:name w:val="WW8Num94z0"/>
    <w:qFormat/>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color w:val="auto"/>
    </w:rPr>
  </w:style>
  <w:style w:type="character" w:styleId="WW8Num100z0">
    <w:name w:val="WW8Num100z0"/>
    <w:qFormat/>
    <w:rPr>
      <w:rFonts w:ascii="Symbol" w:hAnsi="Symbol" w:cs="Symbol"/>
    </w:rPr>
  </w:style>
  <w:style w:type="character" w:styleId="WW8Num101z0">
    <w:name w:val="WW8Num101z0"/>
    <w:qFormat/>
    <w:rPr/>
  </w:style>
  <w:style w:type="character" w:styleId="WW8Num101z1">
    <w:name w:val="WW8Num101z1"/>
    <w:qFormat/>
    <w:rPr>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style>
  <w:style w:type="character" w:styleId="WW8Num112z0">
    <w:name w:val="WW8Num112z0"/>
    <w:qFormat/>
    <w:rPr>
      <w:rFonts w:ascii="Symbol" w:hAnsi="Symbol" w:cs="Symbol"/>
    </w:rPr>
  </w:style>
  <w:style w:type="character" w:styleId="WW8Num113z0">
    <w:name w:val="WW8Num113z0"/>
    <w:qFormat/>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color w:val="auto"/>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Domylnaczcionkaakapitu">
    <w:name w:val="Domyślna czcionka akapitu"/>
    <w:qFormat/>
    <w:rPr/>
  </w:style>
  <w:style w:type="character" w:styleId="PageNumber">
    <w:name w:val="page number"/>
    <w:basedOn w:val="Domylnaczcionkaakapitu"/>
    <w:rPr/>
  </w:style>
  <w:style w:type="character" w:styleId="Hyperlink">
    <w:name w:val="Hyperlink"/>
    <w:basedOn w:val="Domylnaczcionkaakapitu"/>
    <w:rPr>
      <w:color w:val="0000FF"/>
      <w:u w:val="single"/>
    </w:rPr>
  </w:style>
  <w:style w:type="character" w:styleId="FollowedHyperlink">
    <w:name w:val="FollowedHyperlink"/>
    <w:basedOn w:val="Domylnaczcionkaakapitu"/>
    <w:rPr>
      <w:color w:val="800080"/>
      <w:u w:val="single"/>
    </w:rPr>
  </w:style>
  <w:style w:type="character" w:styleId="Odsyaczdokomentarza">
    <w:name w:val="Odsyłacz do komentarza"/>
    <w:basedOn w:val="Domylnaczcionkaakapitu"/>
    <w:qFormat/>
    <w:rPr>
      <w:sz w:val="16"/>
    </w:rPr>
  </w:style>
  <w:style w:type="paragraph" w:styleId="Heading">
    <w:name w:val="Heading"/>
    <w:basedOn w:val="Normal"/>
    <w:next w:val="BodyText"/>
    <w:qFormat/>
    <w:pPr>
      <w:jc w:val="center"/>
    </w:pPr>
    <w:rPr>
      <w:b/>
      <w:sz w:val="28"/>
      <w:lang w:val="en-US"/>
    </w:rPr>
  </w:style>
  <w:style w:type="paragraph" w:styleId="BodyText">
    <w:name w:val="Body Text"/>
    <w:basedOn w:val="Normal"/>
    <w:pPr>
      <w:ind w:hanging="0" w:start="0" w:end="-1008"/>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3" w:start="567" w:end="0"/>
    </w:pPr>
    <w:rPr/>
  </w:style>
  <w:style w:type="paragraph" w:styleId="Tekstpodstawowywcity2">
    <w:name w:val="Tekst podstawowy wcięty 2"/>
    <w:basedOn w:val="Normal"/>
    <w:qFormat/>
    <w:pPr>
      <w:ind w:hanging="284" w:start="284" w:end="0"/>
    </w:pPr>
    <w:rPr/>
  </w:style>
  <w:style w:type="paragraph" w:styleId="Tekstpodstawowywcity3">
    <w:name w:val="Tekst podstawowy wcięty 3"/>
    <w:basedOn w:val="Normal"/>
    <w:qFormat/>
    <w:pPr>
      <w:ind w:hanging="283" w:start="567" w:end="0"/>
      <w:jc w:val="both"/>
    </w:pPr>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Footer">
    <w:name w:val="footer"/>
    <w:basedOn w:val="Normal"/>
    <w:pPr>
      <w:tabs>
        <w:tab w:val="clear" w:pos="708"/>
        <w:tab w:val="center" w:pos="4536" w:leader="none"/>
        <w:tab w:val="right" w:pos="9072" w:leader="none"/>
      </w:tabs>
    </w:pPr>
    <w:rPr/>
  </w:style>
  <w:style w:type="paragraph" w:styleId="Text">
    <w:name w:val="Text"/>
    <w:basedOn w:val="Normal"/>
    <w:qFormat/>
    <w:pPr>
      <w:spacing w:before="0" w:after="240"/>
      <w:ind w:firstLine="1440" w:start="0" w:end="0"/>
    </w:pPr>
    <w:rPr>
      <w:lang w:val="en-US"/>
    </w:rPr>
  </w:style>
  <w:style w:type="paragraph" w:styleId="Tekstdugiegocytatu">
    <w:name w:val="Tekst długiego cytatu"/>
    <w:basedOn w:val="Normal"/>
    <w:qFormat/>
    <w:pPr>
      <w:ind w:hanging="284" w:start="284" w:end="283"/>
      <w:jc w:val="both"/>
    </w:pPr>
    <w:rPr/>
  </w:style>
  <w:style w:type="paragraph" w:styleId="Zwykytekst">
    <w:name w:val="Zwykły tekst"/>
    <w:basedOn w:val="Normal"/>
    <w:qFormat/>
    <w:pPr/>
    <w:rPr>
      <w:rFonts w:ascii="Courier New" w:hAnsi="Courier New" w:cs="Courier New"/>
      <w:sz w:val="20"/>
    </w:rPr>
  </w:style>
  <w:style w:type="paragraph" w:styleId="Tekstpodstawowy2">
    <w:name w:val="Tekst podstawowy 2"/>
    <w:basedOn w:val="Normal"/>
    <w:qFormat/>
    <w:pPr>
      <w:tabs>
        <w:tab w:val="clear" w:pos="708"/>
        <w:tab w:val="left" w:pos="8505" w:leader="none"/>
      </w:tabs>
      <w:ind w:hanging="0" w:start="0" w:end="283"/>
      <w:jc w:val="both"/>
    </w:pPr>
    <w:rPr/>
  </w:style>
  <w:style w:type="paragraph" w:styleId="Plandokumentu">
    <w:name w:val="Plan dokumentu"/>
    <w:basedOn w:val="Normal"/>
    <w:qFormat/>
    <w:pPr>
      <w:shd w:fill="000080" w:val="clear"/>
    </w:pPr>
    <w:rPr>
      <w:rFonts w:ascii="Tahoma" w:hAnsi="Tahoma" w:cs="Tahoma"/>
    </w:rPr>
  </w:style>
  <w:style w:type="paragraph" w:styleId="Header">
    <w:name w:val="header"/>
    <w:basedOn w:val="Normal"/>
    <w:pPr>
      <w:tabs>
        <w:tab w:val="clear" w:pos="708"/>
        <w:tab w:val="center" w:pos="4320" w:leader="none"/>
        <w:tab w:val="right" w:pos="8640" w:leader="none"/>
      </w:tabs>
    </w:pPr>
    <w:rPr/>
  </w:style>
  <w:style w:type="paragraph" w:styleId="Tekstkomentarza">
    <w:name w:val="Tekst komentarza"/>
    <w:basedOn w:val="Normal"/>
    <w:qFormat/>
    <w:pPr/>
    <w:rPr>
      <w:sz w:val="20"/>
    </w:rPr>
  </w:style>
  <w:style w:type="paragraph" w:styleId="Tekstpodstawowy3">
    <w:name w:val="Tekst podstawowy 3"/>
    <w:basedOn w:val="Normal"/>
    <w:qFormat/>
    <w:pPr>
      <w:jc w:val="both"/>
    </w:pPr>
    <w:rPr/>
  </w:style>
  <w:style w:type="paragraph" w:styleId="Lista2">
    <w:name w:val="Lista 2"/>
    <w:basedOn w:val="Normal"/>
    <w:qFormat/>
    <w:pPr>
      <w:ind w:hanging="283" w:start="566"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2000-07-03T08:48:00Z</dcterms:created>
  <dc:creator>EW/LN/CB</dc:creator>
  <dc:description/>
  <cp:keywords>Ethan</cp:keywords>
  <dc:language>en-CA</dc:language>
  <cp:lastModifiedBy>jdrezewski</cp:lastModifiedBy>
  <cp:lastPrinted>2001-05-08T11:59:00Z</cp:lastPrinted>
  <dcterms:modified xsi:type="dcterms:W3CDTF">2001-06-05T08:24:00Z</dcterms:modified>
  <cp:revision>69</cp:revision>
  <dc:subject/>
  <dc:title>Ethan Frome</dc:title>
</cp:coreProperties>
</file>