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Draft: 19.11.99</w:t>
      </w:r>
    </w:p>
    <w:p>
      <w:pPr>
        <w:pStyle w:val="Normal"/>
        <w:rPr>
          <w:b/>
        </w:rPr>
      </w:pPr>
      <w:r>
        <w:rPr>
          <w:b/>
        </w:rPr>
      </w:r>
    </w:p>
    <w:p>
      <w:pPr>
        <w:pStyle w:val="Normal"/>
        <w:jc w:val="center"/>
        <w:rPr>
          <w:b/>
        </w:rPr>
      </w:pPr>
      <w:r>
        <w:rPr>
          <w:b/>
        </w:rPr>
        <w:t>ISDA/GMRA BRIDGE</w:t>
      </w:r>
      <w:r>
        <w:rPr>
          <w:rStyle w:val="FootnoteCharacters"/>
          <w:rStyle w:val="FootnoteReference"/>
          <w:b/>
        </w:rPr>
        <w:footnoteReference w:id="2"/>
      </w:r>
    </w:p>
    <w:p>
      <w:pPr>
        <w:pStyle w:val="Normal"/>
        <w:jc w:val="center"/>
        <w:rPr>
          <w:b/>
        </w:rPr>
      </w:pPr>
      <w:r>
        <w:rPr>
          <w:b/>
        </w:rPr>
      </w:r>
    </w:p>
    <w:p>
      <w:pPr>
        <w:pStyle w:val="Normal"/>
        <w:jc w:val="start"/>
        <w:rPr>
          <w:b/>
        </w:rPr>
      </w:pPr>
      <w:r>
        <w:rPr>
          <w:b/>
        </w:rPr>
        <w:t>GMRA Transactions</w:t>
      </w:r>
    </w:p>
    <w:p>
      <w:pPr>
        <w:pStyle w:val="Normal"/>
        <w:jc w:val="start"/>
        <w:rPr>
          <w:b/>
        </w:rPr>
      </w:pPr>
      <w:r>
        <w:rPr>
          <w:b/>
        </w:rPr>
      </w:r>
    </w:p>
    <w:p>
      <w:pPr>
        <w:pStyle w:val="Normal"/>
        <w:rPr/>
      </w:pPr>
      <w:r>
        <w:rPr/>
        <w:t xml:space="preserve">Any repurchase transaction[, reverse repurchase transaction] or buy and sell back transaction into which the parties </w:t>
      </w:r>
      <w:r>
        <w:rPr>
          <w:i/>
        </w:rPr>
        <w:t>have entered</w:t>
      </w:r>
      <w:r>
        <w:rPr/>
        <w:t xml:space="preserve"> and in respect of which the confirmation or other confirming evidence refers to [or incorporates] the PSA/ISMA Global Master Repurchase Agreement ("GMRA") (with the exception of any Agency Transactions as defined in the GMRA) will be governed by this Agreement.  Any repurchase transaction[, reverse repurchase transaction] or buy and sell back transaction into which the parties </w:t>
      </w:r>
      <w:r>
        <w:rPr>
          <w:i/>
        </w:rPr>
        <w:t>may enter</w:t>
      </w:r>
      <w:r>
        <w:rPr/>
        <w:t xml:space="preserve"> and in respect of which the confirmation or other confirming evidence refers to [or incorporates] the GMRA (with the exception of any Agency Transactions as defined in the GMRA) will be governed by this Agreement in all circumstances except when the parties expressly agree that this provision will not apply.  Each such transaction will be deemed to be a [Swap Transaction] [Transaction]</w:t>
      </w:r>
      <w:r>
        <w:rPr>
          <w:rStyle w:val="FootnoteCharacters"/>
          <w:rStyle w:val="FootnoteReference"/>
        </w:rPr>
        <w:footnoteReference w:id="3"/>
      </w:r>
      <w:r>
        <w:rPr/>
        <w:t xml:space="preserve"> and each such confirmation or other confirming evidence will be deemed to constitute a Confirmation for purposes of this Agreement.  Paragraphs 1, 3[, 4], 5, 6, 8, 9(h), 9(i)[, 10(a)(vi)][, 10(a)(vii)], 11[, 12] and, to the extent necessary to give effect to those paragraphs, paragraph 2 of the GMRA are hereby incorporated by reference in this Agreement.  Those paragraphs are applicable only to transactions to which this provision relates and will prevail in the event of any inconsistency with any other provision of this Agreement.  In the event of any other inconsistency between the GMRA and this Agreement, this Agreement will govern.  Paragraph 10 of the GMRA is not applicable to any transaction to which this provision relates.</w:t>
      </w:r>
    </w:p>
    <w:sectPr>
      <w:footerReference w:type="default" r:id="rId2"/>
      <w:footerReference w:type="first" r:id="rId3"/>
      <w:footnotePr>
        <w:numFmt w:val="decimal"/>
      </w:footnotePr>
      <w:type w:val="nextPage"/>
      <w:pgSz w:w="11906" w:h="16838"/>
      <w:pgMar w:left="1440" w:right="1440" w:gutter="0" w:header="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rPr/>
    </w:pPr>
    <w:bookmarkStart w:id="0" w:name="DocRef"/>
    <w:r>
      <w:rPr/>
      <w:t>ICM:377957.1</w:t>
    </w:r>
    <w:bookmarkEnd w:id="0"/>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rPr/>
    </w:pPr>
    <w:bookmarkStart w:id="1" w:name="PrimaryDocRef"/>
    <w:r>
      <w:rPr/>
      <w:t>ICM:377957.1</w:t>
    </w:r>
    <w:bookmarkEnd w:id="1"/>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Provision to be added to Part 5 of a Schedule to an ISDA Interest Rate and Currency Exchange Agreement or ISDA Master Agreement (Multicurrency - Cross Border).</w:t>
      </w:r>
    </w:p>
  </w:footnote>
  <w:footnote w:id="3">
    <w:p>
      <w:pPr>
        <w:pStyle w:val="FootnoteText"/>
        <w:rPr/>
      </w:pPr>
      <w:r>
        <w:rPr>
          <w:rStyle w:val="FootnoteCharacters"/>
        </w:rPr>
        <w:footnoteRef/>
      </w:r>
      <w:r>
        <w:rPr/>
        <w:t xml:space="preserve"> </w:t>
      </w:r>
      <w:r>
        <w:rPr/>
        <w:tab/>
        <w:t>Select "Swap Transaction" if provision is to be added to an Interest Rate and Currency Exchange Agreement.  Select "Transaction" if provision is to be added to an ISDA Master Agreement (Multicurrency - Cross Border).</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Ref" w:val="ICM:37795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FootnoteText">
    <w:name w:val="footnote text"/>
    <w:basedOn w:val="Normal"/>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2001-03-16T11:44:00Z</dcterms:created>
  <dc:creator>Allen &amp; Overy</dc:creator>
  <dc:description/>
  <dc:language>en-CA</dc:language>
  <cp:lastModifiedBy>apapesch</cp:lastModifiedBy>
  <cp:lastPrinted>1999-10-07T14:59:00Z</cp:lastPrinted>
  <dcterms:modified xsi:type="dcterms:W3CDTF">2001-03-16T11:44:00Z</dcterms:modified>
  <cp:revision>2</cp:revision>
  <dc:subject/>
  <dc:title>Draft: 19</dc:title>
</cp:coreProperties>
</file>