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object w:dxaOrig="1019" w:dyaOrig="8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14.4pt;width:72pt;height:64.8pt;mso-wrap-distance-left:9.05pt;mso-wrap-distance-right:9.05pt;mso-position-horizontal-relative:text;mso-position-vertical-relative:text" filled="f" o:ole="">
            <v:imagedata r:id="rId3" o:title=""/>
            <w10:wrap type="topAndBottom"/>
          </v:shape>
          <o:OLEObject Type="Embed" ProgID="" ShapeID="ole_rId2" DrawAspect="Content" ObjectID="_465135100" r:id="rId2"/>
        </w:object>
      </w:r>
      <w:r>
        <mc:AlternateContent>
          <mc:Choice Requires="wps">
            <w:drawing>
              <wp:anchor behindDoc="0" distT="0" distB="0" distL="114935" distR="114935" simplePos="0" locked="0" layoutInCell="1" allowOverlap="1" relativeHeight="3">
                <wp:simplePos x="0" y="0"/>
                <wp:positionH relativeFrom="column">
                  <wp:posOffset>3830955</wp:posOffset>
                </wp:positionH>
                <wp:positionV relativeFrom="paragraph">
                  <wp:posOffset>-100965</wp:posOffset>
                </wp:positionV>
                <wp:extent cx="2579370" cy="750570"/>
                <wp:effectExtent l="0" t="0" r="0" b="0"/>
                <wp:wrapNone/>
                <wp:docPr id="1" name="Frame1"/>
                <a:graphic xmlns:a="http://schemas.openxmlformats.org/drawingml/2006/main">
                  <a:graphicData uri="http://schemas.microsoft.com/office/word/2010/wordprocessingShape">
                    <wps:wsp>
                      <wps:cNvSpPr txBox="1"/>
                      <wps:spPr>
                        <a:xfrm>
                          <a:off x="0" y="0"/>
                          <a:ext cx="2579370" cy="750570"/>
                        </a:xfrm>
                        <a:prstGeom prst="rect"/>
                        <a:solidFill>
                          <a:srgbClr val="FFFFFF"/>
                        </a:solidFill>
                        <a:ln w="9525">
                          <a:solidFill>
                            <a:srgbClr val="FF0000"/>
                          </a:solidFill>
                        </a:ln>
                      </wps:spPr>
                      <wps:txb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wps:txbx>
                      <wps:bodyPr anchor="t" lIns="91440" tIns="45720" rIns="91440" bIns="45720">
                        <a:noAutofit/>
                      </wps:bodyPr>
                    </wps:wsp>
                  </a:graphicData>
                </a:graphic>
              </wp:anchor>
            </w:drawing>
          </mc:Choice>
          <mc:Fallback>
            <w:pict>
              <v:rect fillcolor="#FFFFFF" strokecolor="#FF0000" strokeweight="0pt" style="position:absolute;rotation:-0;width:203.1pt;height:59.1pt;mso-wrap-distance-left:9.05pt;mso-wrap-distance-right:9.05pt;mso-wrap-distance-top:0pt;mso-wrap-distance-bottom:0pt;margin-top:-7.95pt;mso-position-vertical-relative:text;margin-left:301.65pt;mso-position-horizontal-relative:text">
                <v:textbo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-104140</wp:posOffset>
                </wp:positionH>
                <wp:positionV relativeFrom="paragraph">
                  <wp:posOffset>-104140</wp:posOffset>
                </wp:positionV>
                <wp:extent cx="3865880" cy="756920"/>
                <wp:effectExtent l="0" t="0" r="0" b="0"/>
                <wp:wrapNone/>
                <wp:docPr id="2" name="Frame2"/>
                <a:graphic xmlns:a="http://schemas.openxmlformats.org/drawingml/2006/main">
                  <a:graphicData uri="http://schemas.microsoft.com/office/word/2010/wordprocessingShape">
                    <wps:wsp>
                      <wps:cNvSpPr txBox="1"/>
                      <wps:spPr>
                        <a:xfrm>
                          <a:off x="0" y="0"/>
                          <a:ext cx="3865880" cy="756920"/>
                        </a:xfrm>
                        <a:prstGeom prst="rect"/>
                        <a:solidFill>
                          <a:srgbClr val="3366FF"/>
                        </a:solidFill>
                        <a:ln w="12700">
                          <a:solidFill>
                            <a:srgbClr val="FF0000"/>
                          </a:solidFill>
                        </a:ln>
                      </wps:spPr>
                      <wps:txbx>
                        <w:txbxContent>
                          <w:p>
                            <w:pPr>
                              <w:pStyle w:val="Normal"/>
                              <w:rPr>
                                <w:b/>
                                <w:color w:val="FFFFFF"/>
                                <w:sz w:val="32"/>
                              </w:rPr>
                            </w:pPr>
                            <w:r>
                              <w:rPr>
                                <w:b/>
                                <w:color w:val="FFFFFF"/>
                                <w:sz w:val="32"/>
                              </w:rPr>
                              <w:t>GLOBAL MARKETS MONITOR</w:t>
                            </w:r>
                          </w:p>
                          <w:p>
                            <w:pPr>
                              <w:pStyle w:val="Normal"/>
                              <w:rPr>
                                <w:b/>
                                <w:color w:val="FFFFFF"/>
                                <w:sz w:val="24"/>
                              </w:rPr>
                            </w:pPr>
                            <w:r>
                              <w:rPr>
                                <w:b/>
                                <w:color w:val="FFFFFF"/>
                                <w:sz w:val="24"/>
                              </w:rPr>
                            </w:r>
                          </w:p>
                          <w:p>
                            <w:pPr>
                              <w:pStyle w:val="Heading9"/>
                              <w:ind w:hanging="0" w:start="0"/>
                              <w:rPr>
                                <w:color w:val="808080"/>
                                <w:sz w:val="24"/>
                              </w:rPr>
                            </w:pPr>
                            <w:r>
                              <w:rPr>
                                <w:sz w:val="24"/>
                              </w:rPr>
                              <w:t>26 January 2001</w:t>
                            </w:r>
                          </w:p>
                          <w:p>
                            <w:pPr>
                              <w:pStyle w:val="Normal"/>
                              <w:rPr>
                                <w:b/>
                                <w:color w:val="808080"/>
                                <w:sz w:val="24"/>
                              </w:rPr>
                            </w:pPr>
                            <w:r>
                              <w:rPr>
                                <w:b/>
                                <w:color w:val="808080"/>
                                <w:sz w:val="24"/>
                              </w:rPr>
                            </w:r>
                          </w:p>
                        </w:txbxContent>
                      </wps:txbx>
                      <wps:bodyPr anchor="t" lIns="91440" tIns="45720" rIns="91440" bIns="45720">
                        <a:noAutofit/>
                      </wps:bodyPr>
                    </wps:wsp>
                  </a:graphicData>
                </a:graphic>
              </wp:anchor>
            </w:drawing>
          </mc:Choice>
          <mc:Fallback>
            <w:pict>
              <v:rect fillcolor="#3366FF" strokecolor="#FF0000" strokeweight="1pt" style="position:absolute;rotation:-0;width:304.4pt;height:59.6pt;mso-wrap-distance-left:9.05pt;mso-wrap-distance-right:9.05pt;mso-wrap-distance-top:0pt;mso-wrap-distance-bottom:0pt;margin-top:-8.2pt;mso-position-vertical-relative:text;margin-left:-8.2pt;mso-position-horizontal-relative:text">
                <v:textbox>
                  <w:txbxContent>
                    <w:p>
                      <w:pPr>
                        <w:pStyle w:val="Normal"/>
                        <w:rPr>
                          <w:b/>
                          <w:color w:val="FFFFFF"/>
                          <w:sz w:val="32"/>
                        </w:rPr>
                      </w:pPr>
                      <w:r>
                        <w:rPr>
                          <w:b/>
                          <w:color w:val="FFFFFF"/>
                          <w:sz w:val="32"/>
                        </w:rPr>
                        <w:t>GLOBAL MARKETS MONITOR</w:t>
                      </w:r>
                    </w:p>
                    <w:p>
                      <w:pPr>
                        <w:pStyle w:val="Normal"/>
                        <w:rPr>
                          <w:b/>
                          <w:color w:val="FFFFFF"/>
                          <w:sz w:val="24"/>
                        </w:rPr>
                      </w:pPr>
                      <w:r>
                        <w:rPr>
                          <w:b/>
                          <w:color w:val="FFFFFF"/>
                          <w:sz w:val="24"/>
                        </w:rPr>
                      </w:r>
                    </w:p>
                    <w:p>
                      <w:pPr>
                        <w:pStyle w:val="Heading9"/>
                        <w:ind w:hanging="0" w:start="0"/>
                        <w:rPr>
                          <w:color w:val="808080"/>
                          <w:sz w:val="24"/>
                        </w:rPr>
                      </w:pPr>
                      <w:r>
                        <w:rPr>
                          <w:sz w:val="24"/>
                        </w:rPr>
                        <w:t>26 January 2001</w:t>
                      </w:r>
                    </w:p>
                    <w:p>
                      <w:pPr>
                        <w:pStyle w:val="Normal"/>
                        <w:rPr>
                          <w:b/>
                          <w:color w:val="808080"/>
                          <w:sz w:val="24"/>
                        </w:rPr>
                      </w:pPr>
                      <w:r>
                        <w:rPr>
                          <w:b/>
                          <w:color w:val="808080"/>
                          <w:sz w:val="24"/>
                        </w:rPr>
                      </w:r>
                    </w:p>
                  </w:txbxContent>
                </v:textbox>
                <w10:wrap type="none"/>
              </v:rect>
            </w:pict>
          </mc:Fallback>
        </mc:AlternateContent>
      </w:r>
    </w:p>
    <w:p>
      <w:pPr>
        <w:pStyle w:val="Normal"/>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0000FF" w:val="clear"/>
          </w:tcPr>
          <w:p>
            <w:pPr>
              <w:pStyle w:val="Normal"/>
              <w:rPr>
                <w:b/>
                <w:color w:val="FFFFFF"/>
                <w:sz w:val="32"/>
              </w:rPr>
            </w:pPr>
            <w:r>
              <w:rPr>
                <w:b/>
                <w:color w:val="FFFFFF"/>
                <w:sz w:val="32"/>
              </w:rPr>
              <w:t>Economic and Central Bank Monitor</w:t>
            </w:r>
          </w:p>
        </w:tc>
      </w:tr>
      <w:tr>
        <w:trPr/>
        <w:tc>
          <w:tcPr>
            <w:tcW w:w="10188" w:type="dxa"/>
            <w:tcBorders>
              <w:top w:val="single" w:sz="4" w:space="0" w:color="000000"/>
              <w:start w:val="single" w:sz="4" w:space="0" w:color="000000"/>
              <w:end w:val="single" w:sz="4" w:space="0" w:color="000000"/>
            </w:tcBorders>
            <w:shd w:fill="DFDFDF" w:val="clear"/>
          </w:tcPr>
          <w:p>
            <w:pPr>
              <w:pStyle w:val="Normal"/>
              <w:rPr>
                <w:b/>
                <w:i/>
                <w:i/>
                <w:sz w:val="28"/>
              </w:rPr>
            </w:pPr>
            <w:r>
              <w:rPr>
                <w:b/>
                <w:i/>
                <w:sz w:val="28"/>
              </w:rPr>
              <w:t>North America</w:t>
            </w:r>
          </w:p>
        </w:tc>
      </w:tr>
      <w:tr>
        <w:trPr/>
        <w:tc>
          <w:tcPr>
            <w:tcW w:w="10188" w:type="dxa"/>
            <w:tcBorders>
              <w:start w:val="single" w:sz="4" w:space="0" w:color="000000"/>
              <w:end w:val="single" w:sz="4" w:space="0" w:color="000000"/>
            </w:tcBorders>
          </w:tcPr>
          <w:p>
            <w:pPr>
              <w:pStyle w:val="Normal"/>
              <w:numPr>
                <w:ilvl w:val="0"/>
                <w:numId w:val="3"/>
              </w:numPr>
              <w:rPr>
                <w:rFonts w:ascii="Times New Roman" w:hAnsi="Times New Roman" w:cs="Times New Roman"/>
                <w:b/>
                <w:sz w:val="22"/>
              </w:rPr>
            </w:pPr>
            <w:r>
              <w:rPr>
                <w:rFonts w:cs="Times New Roman" w:ascii="Times New Roman" w:hAnsi="Times New Roman"/>
                <w:b/>
                <w:sz w:val="22"/>
              </w:rPr>
              <w:t>Greenspan Endorses Tax Cuts More to Absorb Fiscal Surplus Than to Stimulate Economy:</w:t>
            </w:r>
            <w:r>
              <w:rPr>
                <w:rFonts w:cs="Times New Roman" w:ascii="Times New Roman" w:hAnsi="Times New Roman"/>
                <w:sz w:val="22"/>
              </w:rPr>
              <w:t xml:space="preserve"> Fed Chairman Alan Greenspan testified before the U.S. Senate</w:t>
            </w:r>
            <w:r>
              <w:rPr>
                <w:rFonts w:cs="Times New Roman" w:ascii="Times New Roman" w:hAnsi="Times New Roman"/>
                <w:b/>
                <w:sz w:val="22"/>
              </w:rPr>
              <w:t xml:space="preserve"> </w:t>
            </w:r>
            <w:r>
              <w:rPr>
                <w:rFonts w:cs="Times New Roman" w:ascii="Times New Roman" w:hAnsi="Times New Roman"/>
                <w:sz w:val="22"/>
              </w:rPr>
              <w:t xml:space="preserve">Budget Committee this week that the national debt may be paid off sooner then he thought due to larger-than-expected budget surpluses and that this presents opportunities for “surplus-lowering policy initiatives.”  In other words, phased-in tax cuts. Chairman Greenspan still favors debt reduction over tax cuts (and government spending programs) as the best policy choice during periods of fiscal surplus, which according to the Office of Management and Budget (OMB) will reach $800 billion in 2011. Congressional Budget Office (CBO) budget forecasts expected next week are reportedly even rosier, estimating a total surplus in 10 years of about $3.0 trillion (up from $2.0 trillion), assuming a long-term growth rate of 3.0 percent.  Greenspan’s primary objective this week was to discuss the implications of maintaining surpluses once the publicly held debt is effectively paid off.  Tax cuts should start “sooner rather than later,” Greenspan said, and </w:t>
            </w:r>
            <w:r>
              <w:rPr>
                <w:rFonts w:cs="Times New Roman" w:ascii="Times New Roman" w:hAnsi="Times New Roman"/>
                <w:b/>
                <w:sz w:val="22"/>
              </w:rPr>
              <w:t xml:space="preserve">“should current economic weakness spread beyond what now appears likely, having a tax cut in place may, in fact, do noticeable good.”  </w:t>
            </w:r>
            <w:r>
              <w:rPr>
                <w:rFonts w:cs="Times New Roman" w:ascii="Times New Roman" w:hAnsi="Times New Roman"/>
                <w:sz w:val="22"/>
              </w:rPr>
              <w:t xml:space="preserve">Even though the federal government may not be able to pay down the entire national debt due to the reluctance of government bondholders to redeem risk-free assets before maturity, Greenspan recommends a preemptive smoothing of the “glide path” to zero debt.  This suggests that policymakers must balance excess revenue </w:t>
            </w:r>
            <w:r>
              <w:rPr>
                <w:rFonts w:cs="Times New Roman" w:ascii="Times New Roman" w:hAnsi="Times New Roman"/>
                <w:color w:val="000000"/>
                <w:sz w:val="22"/>
              </w:rPr>
              <w:t>with tax cuts or spending programs to reach an effective minimum level of</w:t>
            </w:r>
            <w:r>
              <w:rPr>
                <w:rFonts w:cs="Times New Roman" w:ascii="Times New Roman" w:hAnsi="Times New Roman"/>
                <w:sz w:val="22"/>
              </w:rPr>
              <w:t xml:space="preserve"> federal debt, which will hold down long-term interest rates, lower the cost of capital and elevate private investment, which in turn spurs economic growth.</w:t>
            </w:r>
          </w:p>
          <w:p>
            <w:pPr>
              <w:pStyle w:val="Normal"/>
              <w:numPr>
                <w:ilvl w:val="0"/>
                <w:numId w:val="3"/>
              </w:numPr>
              <w:rPr>
                <w:rFonts w:ascii="Times New Roman" w:hAnsi="Times New Roman" w:cs="Times New Roman"/>
                <w:b/>
                <w:sz w:val="22"/>
              </w:rPr>
            </w:pPr>
            <w:r>
              <w:rPr>
                <w:rFonts w:cs="Times New Roman" w:ascii="Times New Roman" w:hAnsi="Times New Roman"/>
                <w:b/>
                <w:sz w:val="22"/>
              </w:rPr>
              <w:t>Greenspan Signals Further Rate Cut:</w:t>
            </w:r>
            <w:r>
              <w:rPr>
                <w:rFonts w:cs="Times New Roman" w:ascii="Times New Roman" w:hAnsi="Times New Roman"/>
                <w:sz w:val="22"/>
              </w:rPr>
              <w:t xml:space="preserve"> On the economic outlook, Greenspan said during testimony that the economy, which has experienced a “dramatic slowing,” was growing at a rate “close to zero” now and that he expects a “small positive” growth figure for 4Q00, with inflationary pressures “well contained.”  Greenspan expressed concern about the economic effect beyond energy prices from the power crunch in California, which accounts for thirteen percent of US GDP.  Despite his reversal in favor of tax cuts, Greenspan stated that interest rates have a much more immediate impact on the economy than do fiscal policies, which tend to have a lag effect.  These statements strongly imply another rate cut at the FOMC meeting next week.  The key question is by how much, 25 or 50 bp.  During the recession of the early 1990s, the Fed cut rates by a total of 425 bp over a 16-month period (from 8.25 percent in June 1990 to 4.0 percent in December 1991) but never by two consecutive 50 bp cuts.  Although the U.S. slowdown is not expected to be as severe as previous drops in economic activity due to energy price shocks, the economy decelerated more quickly than Fed policymakers anticipated.  Layoffs and job cuts across industries, dashed earnings expectations and rampant profit warnings, coupled with the energy crisis in California, strengthen the rationale for another aggressive cut in borrowing costs to lift consumer and investor sentiment despite reassuring public comments recently by Fed Presidents on U.S. growth prospects.  Also, the employment cost index, which is a broad measure of wage inflation, rose by a soft 0.8 percent in 4Q00 after rising 0.9 percent in 3Q and 1.0 percent in 2Q00.  In addition, seven of the 10 leading economic indicators published by the Conference Board’s fell in December.  Therefore, there is room for another large reduction of 50 bp in rates (100 bp in total this month) to 5.5 percent.  Lower interest rates will allow the Fed to help commercial banks earn higher lending margins, offsetting the rise in loan losses due to the economic slowdown and loan portfolio deterioration in California due to the energy crisis as well as the hard-hit tech sector.</w:t>
            </w:r>
          </w:p>
        </w:tc>
      </w:tr>
    </w:tbl>
    <w:p>
      <w:pPr>
        <w:pStyle w:val="Normal"/>
        <w:numPr>
          <w:ilvl w:val="0"/>
          <w:numId w:val="3"/>
        </w:numPr>
        <w:pBdr>
          <w:top w:val="single" w:sz="4" w:space="1" w:color="000000"/>
          <w:left w:val="single" w:sz="4" w:space="4" w:color="000000"/>
          <w:bottom w:val="single" w:sz="4" w:space="1" w:color="000000"/>
          <w:right w:val="single" w:sz="4" w:space="31" w:color="000000"/>
        </w:pBdr>
        <w:rPr>
          <w:rFonts w:ascii="Times New Roman" w:hAnsi="Times New Roman" w:cs="Times New Roman"/>
          <w:sz w:val="22"/>
        </w:rPr>
      </w:pPr>
      <w:r>
        <w:rPr>
          <w:rFonts w:cs="Times New Roman" w:ascii="Times New Roman" w:hAnsi="Times New Roman"/>
          <w:b/>
          <w:sz w:val="22"/>
        </w:rPr>
        <w:t xml:space="preserve">Cheney: The problem in California was caused by California: </w:t>
      </w:r>
      <w:r>
        <w:rPr>
          <w:rFonts w:cs="Times New Roman" w:ascii="Times New Roman" w:hAnsi="Times New Roman"/>
          <w:sz w:val="22"/>
        </w:rPr>
        <w:t>California's utilities are caught in a crunch between soaring fuel prices and a state law that holds down the prices to consumers. The state's two investor-owned utilities are facing bankruptcy and rolling blackouts have temporarily shut down many small and energy-intensive businesses, forcing thousands of layoffs.  Vice President Dick Cheney: ``We're prepared to do those things that we can to help, but the basic problem in California was caused by California.''  Cheney blamed California's energy problems on ``a flawed deregulation scheme'' and said that cumbersome state regulations have prevented any major power</w:t>
      </w:r>
      <w:r>
        <w:rPr>
          <w:rFonts w:cs="Times New Roman" w:ascii="Times New Roman" w:hAnsi="Times New Roman"/>
          <w:b/>
          <w:sz w:val="22"/>
        </w:rPr>
        <w:t xml:space="preserve"> </w:t>
      </w:r>
      <w:r>
        <w:rPr/>
        <w:t>plant construction over the past decade -- even though power consumption is up by 20 percent.''</w:t>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sz w:val="22"/>
              </w:rPr>
            </w:pPr>
            <w:r>
              <w:rPr>
                <w:rFonts w:cs="Times New Roman" w:ascii="Times New Roman" w:hAnsi="Times New Roman"/>
                <w:b/>
                <w:sz w:val="22"/>
              </w:rPr>
              <w:t>Bush’s Response:</w:t>
            </w:r>
            <w:r>
              <w:rPr>
                <w:rFonts w:cs="Times New Roman" w:ascii="Times New Roman" w:hAnsi="Times New Roman"/>
                <w:sz w:val="22"/>
              </w:rPr>
              <w:t xml:space="preserve"> The White House planned a strategy meeting Monday on the problem and is dispatching top energy officials to see governors of Western states affected by the power crunch.  ``We'll begin to focus on this'' at the meeting to which President Bush has ``summoned the relevant Cabinet and agency heads'', Cheney said.  The problem has prompted Bush to extended by two weeks -- until midnight PST Feb. 6 -- directives put in place by the Clinton administration to force power suppliers to continue shipping electricity to California.  The move will ensure that the state gets power, but Bush made it clear he did so reluctantly and would not issue further extensions.  Bush also is considering letting the state roll back its air pollution controls for power plants.  Meanwhile, electricity costs are rising across much of the West.  One step the administration is taking is sending Energy Secretary Spencer Abraham and Curt L. Hebert Jr., the newly appointed head of the Federal Energy Regulatory Commission, to meet this week with Western governors in Portland, Ore.  Bush will also likely discuss power next month in a visit with Mexican President Vicente Fox, in hopes that Mexico will expand power plant construction so that more electricity can flow into the United States. </w:t>
            </w:r>
          </w:p>
          <w:p>
            <w:pPr>
              <w:pStyle w:val="Normal"/>
              <w:numPr>
                <w:ilvl w:val="0"/>
                <w:numId w:val="3"/>
              </w:numPr>
              <w:pBdr>
                <w:top w:val="single" w:sz="4" w:space="1" w:color="000000"/>
                <w:left w:val="single" w:sz="4" w:space="4" w:color="000000"/>
                <w:bottom w:val="single" w:sz="4" w:space="1" w:color="000000"/>
                <w:right w:val="single" w:sz="4" w:space="4" w:color="000000"/>
              </w:pBdr>
              <w:rPr>
                <w:rFonts w:ascii="Times New Roman" w:hAnsi="Times New Roman" w:cs="Times New Roman"/>
                <w:sz w:val="22"/>
              </w:rPr>
            </w:pPr>
            <w:r>
              <w:rPr>
                <w:rFonts w:cs="Times New Roman" w:ascii="Times New Roman" w:hAnsi="Times New Roman"/>
                <w:b/>
                <w:sz w:val="22"/>
              </w:rPr>
              <w:t>Greenspan - California crisis threatens to undermine the country's economic expansion:</w:t>
            </w:r>
            <w:r>
              <w:rPr>
                <w:rFonts w:cs="Times New Roman" w:ascii="Times New Roman" w:hAnsi="Times New Roman"/>
                <w:sz w:val="22"/>
              </w:rPr>
              <w:t xml:space="preserve"> Federal Reserve Chairman Alan Greenspan told a congressional committee that the California crisis threatens to undermine the country's economic expansion.  He said the problem must be addressed ``rather quickly.''  Federal Reserve Chairman Alan Greenspan warned last Thursday that if the state's energy crisis isn't resolved soon it could cause a ripple effect throughout the U.S. economy that could undermine the nation's decade-long expansion.  ``It's scarcely credible that you can have a major economic problem in California which does not feed to the rest of the 49 states,'' Greenspan said in congressional testimony.  He said the crisis could reduce investment in the West, which in turn could shake consumer confidence.</w:t>
            </w:r>
          </w:p>
          <w:p>
            <w:pPr>
              <w:pStyle w:val="Normal"/>
              <w:rPr>
                <w:rFonts w:ascii="Times New Roman" w:hAnsi="Times New Roman" w:cs="Times New Roman"/>
                <w:sz w:val="22"/>
              </w:rPr>
            </w:pPr>
            <w:r>
              <w:rPr>
                <w:rFonts w:cs="Times New Roman" w:ascii="Times New Roman" w:hAnsi="Times New Roman"/>
                <w:sz w:val="22"/>
              </w:rPr>
            </w:r>
          </w:p>
        </w:tc>
      </w:tr>
      <w:tr>
        <w:trPr/>
        <w:tc>
          <w:tcPr>
            <w:tcW w:w="10188" w:type="dxa"/>
            <w:tcBorders>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b/>
                <w:sz w:val="22"/>
              </w:rPr>
            </w:pPr>
            <w:r>
              <w:rPr>
                <w:rFonts w:cs="Times New Roman" w:ascii="Times New Roman" w:hAnsi="Times New Roman"/>
                <w:b/>
                <w:sz w:val="22"/>
              </w:rPr>
              <w:t xml:space="preserve">Bank of Canada (BOC) Follows Fed Lead: </w:t>
            </w:r>
            <w:r>
              <w:rPr>
                <w:rFonts w:cs="Times New Roman" w:ascii="Times New Roman" w:hAnsi="Times New Roman"/>
                <w:sz w:val="22"/>
              </w:rPr>
              <w:t xml:space="preserve">In the first G7 central bank move since the Fed cut interest rates 50 basis points, Canada’s central bank lowered interest rates by 25 basis points in a preemptive move to head off the threat of a slowdown south of the border.  The Bank trimmed the Bank Rate to 5.75 percent and the overnight rate to 5.50 percent despite what the Bank termed the “solid underlying momentum of the Canadian economy.” Canada’s economy grew at a brisk annualized pace of 4.8 percent in 3Q00.  To justify the monetary easing, the Bank pointed to the weakening external environment and stated that “the outlook for the U.S. economy has weakened more abruptly” than the BOC had anticipated.  This suggests that the slowdown in the U.S., Canada’s largest trading partner, is more worrisome to the BOC than headline inflation, which has risen steadily to exceed the 3 percent upper limit of its target band, printing 3.2 percent in December.  As late as last month, the Bank had expressed concern about continued upside risks to inflation in its decision to hold rates steady, as the ex-energy and food core index had climbed to mid-range levels.  But the Bank now expects the headline rate to fall to about 2.0 percent by mid-year and the ex-energy core inflation rate to hover at 2.0 percent as long as energy prices stabilize.  Policymakers expect output growth in Canada this year is likely to slow to a rate close to potential growth, which is estimated to be 3 percent.   It was only three months ago that economic growth was expected to be above potential.  The BOC has followed the Fed in lockstep for over a year.  This was the final MPC meeting for Governor Gordon Thiessen, who retires at the end of January.  David Dodge, a close ally of current Finance Minister Paul Martin, will take over the helm of the BOC. </w:t>
            </w:r>
          </w:p>
        </w:tc>
      </w:tr>
    </w:tbl>
    <w:p>
      <w:pPr>
        <w:pStyle w:val="Normal"/>
        <w:rPr>
          <w:rFonts w:ascii="Times New Roman" w:hAnsi="Times New Roman" w:cs="Times New Roman"/>
          <w:sz w:val="22"/>
        </w:rPr>
      </w:pPr>
      <w:r>
        <w:rPr>
          <w:rFonts w:cs="Times New Roman" w:ascii="Times New Roman" w:hAnsi="Times New Roman"/>
          <w:sz w:val="22"/>
        </w:rPr>
      </w:r>
      <w:r>
        <w:br w:type="page"/>
      </w:r>
    </w:p>
    <w:p>
      <w:pPr>
        <w:pStyle w:val="Normal"/>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DFDFDF" w:val="clear"/>
          </w:tcPr>
          <w:p>
            <w:pPr>
              <w:pStyle w:val="Normal"/>
              <w:rPr>
                <w:b/>
                <w:i/>
                <w:i/>
                <w:sz w:val="28"/>
              </w:rPr>
            </w:pPr>
            <w:r>
              <w:rPr>
                <w:b/>
                <w:i/>
                <w:sz w:val="28"/>
              </w:rPr>
              <w:t xml:space="preserve">Europe </w:t>
            </w:r>
          </w:p>
        </w:tc>
      </w:tr>
      <w:tr>
        <w:trPr/>
        <w:tc>
          <w:tcPr>
            <w:tcW w:w="10188" w:type="dxa"/>
            <w:tcBorders>
              <w:top w:val="single" w:sz="4" w:space="0" w:color="000000"/>
              <w:start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Close Call at BOE Reveals Possible Rate Cut in February Amid Slowing Growth: </w:t>
            </w:r>
            <w:r>
              <w:rPr>
                <w:rFonts w:cs="Times New Roman" w:ascii="Times New Roman" w:hAnsi="Times New Roman"/>
                <w:sz w:val="22"/>
              </w:rPr>
              <w:t>Minutes of January’s MPC meeting reveal a split committee over whether to hold or lower interest rates.  In its meeting on January 10 and 11, the Bank of England (BOE) voted to leave interest rates unchanged at 6.0 percent by a narrow margin of 5-to-4. Those favoring a hold on rates, two fewer members than in December, stated that factors cited by the U.S. FOMC in justifying their recent cut (including weak sales and production and tight financial markets) did not “have obvious counterparts in the U.K.”  By contrast, the 4 dissenting committee members asserted that there was sufficient scope to cut rates by 25 bp this month on fears the U.S. slowdown could undercut business confidence and thus investment growth and on evidence that RPIX inflation (consumer prices less mortgage interest payments) was below target.  However, in an interesting note on timing, the MPC did not want to be wrongly interpreted as lowering rates merely as a reaction to the U.S. rate cut.  More economic evidence out of the UK today justifies a rate cut next month.  UK’s economy expanded by a disappointing 0.3 percent in 4Q00 (2.4 percent year-on-year), less than half the 0.7 percent gain in third quarter (3.0 percent yoy) and the lowest quarterly rise since December 1998.</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rFonts w:ascii="Times New Roman" w:hAnsi="Times New Roman" w:cs="Times New Roman"/>
                <w:b/>
                <w:sz w:val="22"/>
              </w:rPr>
            </w:pPr>
            <w:r>
              <w:rPr>
                <w:rFonts w:cs="Times New Roman" w:ascii="Times New Roman" w:hAnsi="Times New Roman"/>
                <w:b/>
                <w:sz w:val="22"/>
              </w:rPr>
              <w:t xml:space="preserve">Euro Keeps Close Watch on Inflation Developments, Rate Cut On Hold: </w:t>
            </w:r>
            <w:r>
              <w:rPr>
                <w:rFonts w:cs="Times New Roman" w:ascii="Times New Roman" w:hAnsi="Times New Roman"/>
                <w:sz w:val="22"/>
              </w:rPr>
              <w:t xml:space="preserve">As we stated previously, the ECB will be hesitant to lower interest rates until inflation subsides closer to its target of 2 percent, led by further euro recovery and failure of excessive wage settlements to materialize.  Although annual headline inflation receded to 2.6 percent in December (from 2.9 percent in November), German inflation jumped 0.5 percent in the four weeks through mid-January due to higher taxes on cars and gasoline and higher TV and radio fees.  Italian inflation rose a modest 0.1 percent in December after rising 0.4 and 0.3 in November and October, respectively.  Despite the one-time nature of the German price pressures, ECB policymakers warned that the bank was “far from complacent” about price risks.  Bundesbank President and ECB council member Ernst Welteke said there were “very unsatisfying developments in inflation” in parts of Europe.  ECB chief economist Otmar Issing said this week that the increase in oil prices and euro decline last year meant inflationary pressures are “still in the pipeline,” and that inflation can’t be expected to move quickly back below 2 percent.  Over the next few months, the euro’s level vis-à-vis the U.S. dollar will be driven mostly by the direction </w:t>
            </w:r>
            <w:r>
              <w:rPr>
                <w:rFonts w:cs="Times New Roman" w:ascii="Times New Roman" w:hAnsi="Times New Roman"/>
                <w:color w:val="000000"/>
                <w:sz w:val="22"/>
              </w:rPr>
              <w:t>of equity capital</w:t>
            </w:r>
            <w:r>
              <w:rPr>
                <w:rFonts w:cs="Times New Roman" w:ascii="Times New Roman" w:hAnsi="Times New Roman"/>
                <w:sz w:val="22"/>
              </w:rPr>
              <w:t xml:space="preserve"> flows in or out of the U.S, which peaked last year.  The euro will also continue to appreciate versus the US dollar as long as growth prospects remain brighter in Euroland than the US. </w:t>
            </w:r>
          </w:p>
        </w:tc>
      </w:tr>
    </w:tbl>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DFDFDF" w:val="clear"/>
          </w:tcPr>
          <w:p>
            <w:pPr>
              <w:pStyle w:val="Normal"/>
              <w:rPr>
                <w:b/>
                <w:i/>
                <w:i/>
                <w:sz w:val="28"/>
              </w:rPr>
            </w:pPr>
            <w:r>
              <w:rPr>
                <w:b/>
                <w:i/>
                <w:sz w:val="28"/>
              </w:rPr>
              <w:t xml:space="preserve">Asia/Pacific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Mr. Yen Speaks.  Hayami Retreats from Zero Interest Rate Policy: </w:t>
            </w:r>
            <w:r>
              <w:rPr>
                <w:rFonts w:cs="Times New Roman" w:ascii="Times New Roman" w:hAnsi="Times New Roman"/>
                <w:sz w:val="22"/>
              </w:rPr>
              <w:t xml:space="preserve">Eisuke Sakakibara, a former top Japanese financial diplomat also known as Mr Yen, said this week that the G7 </w:t>
            </w:r>
            <w:r>
              <w:rPr>
                <w:rFonts w:cs="Times New Roman" w:ascii="Times New Roman" w:hAnsi="Times New Roman"/>
                <w:color w:val="000000"/>
                <w:sz w:val="22"/>
              </w:rPr>
              <w:t>monetary authorities are not likely to resist a weaker yen</w:t>
            </w:r>
            <w:r>
              <w:rPr>
                <w:rFonts w:cs="Times New Roman" w:ascii="Times New Roman" w:hAnsi="Times New Roman"/>
                <w:color w:val="FF0000"/>
                <w:sz w:val="22"/>
              </w:rPr>
              <w:t xml:space="preserve"> </w:t>
            </w:r>
            <w:r>
              <w:rPr>
                <w:rFonts w:cs="Times New Roman" w:ascii="Times New Roman" w:hAnsi="Times New Roman"/>
                <w:sz w:val="22"/>
              </w:rPr>
              <w:t xml:space="preserve">when they convene for meetings next month in Palermo, Italy.  Sakakibara said that a decline in the yen to Y125 “would be positive” because it would help lift Japan’s exports and economy.  Amidst this debate on how to boost Japan’s economy, Bank of Japan Governor Hayami’s stated that the Bank has no intentions of returning to the zero interest rate policy to support the economic recovery.  Also contributing to yen weakness this week was another scandal-driven resignation of senior economic minister Nukaga over bribery allegations.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What is Biggest Risk to Economic Recovery According to Japan Inc.? </w:t>
            </w:r>
            <w:r>
              <w:rPr>
                <w:rFonts w:cs="Times New Roman" w:ascii="Times New Roman" w:hAnsi="Times New Roman"/>
                <w:sz w:val="22"/>
              </w:rPr>
              <w:t xml:space="preserve">Contrary to the Bank of Japan’s chief concern of a slowing global economy, Japanese CEOs see weak consumer demand the biggest risk to Japan’s recovery.  In a survey by Nikkei financial daily, the percentage of corporate leaders who believe the earnings outlook has worsened has tripled to 31 percent since May of last year.  In what is bad news for the stock market, when asked what they would do with their equity holdings, 40 percent of CEOs replied that they would reduce their cross-holding shares.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Times New Roman" w:hAnsi="Times New Roman" w:cs="Times New Roman"/>
                <w:b/>
                <w:sz w:val="22"/>
              </w:rPr>
            </w:pPr>
            <w:r>
              <w:rPr>
                <w:rFonts w:cs="Times New Roman" w:ascii="Times New Roman" w:hAnsi="Times New Roman"/>
                <w:b/>
                <w:sz w:val="22"/>
              </w:rPr>
              <w:t xml:space="preserve">Sony Lowers Net Profit Forecast on Slowing Demand for Consumer Electronics: </w:t>
            </w:r>
            <w:r>
              <w:rPr>
                <w:rFonts w:cs="Times New Roman" w:ascii="Times New Roman" w:hAnsi="Times New Roman"/>
                <w:sz w:val="22"/>
              </w:rPr>
              <w:t xml:space="preserve">Sony expects a major reduction in the growth rate of demand for personal computers and electronics in the U.S. and Europe to take a toll on profits in the coming year.  Aiwa, a subsidiary of Sony, was hit with heavy losses for the full year 2000.  These earnings warning highlights not only the deterioration in demand for consumer electronics echoed by such companies as Dell Computer, but also the impact such a decline may have on the Japanese manufacturing sector which is already struggling with weak consumer demand at home. </w:t>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FFFFFF"/>
                <w:sz w:val="32"/>
              </w:rPr>
            </w:pPr>
            <w:r>
              <w:rPr>
                <w:b/>
                <w:color w:val="FFFFFF"/>
                <w:sz w:val="32"/>
                <w:shd w:fill="0000FF" w:val="clear"/>
              </w:rPr>
              <w:t>Commodity News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Higher Power Prices Mean Less Zinc Production But More Profits at Cominco: </w:t>
            </w:r>
            <w:r>
              <w:rPr>
                <w:rFonts w:cs="Times New Roman" w:ascii="Times New Roman" w:hAnsi="Times New Roman"/>
                <w:sz w:val="22"/>
              </w:rPr>
              <w:t>In testament to the effects of higher power prices on metals production, the Canadian zinc and lead producer Cominco has decided to sell its surplus electricity to reap greater profits from power price spikes, instead of producing more zinc at its British Colombia facility.  Cominco cut production at its Trail facility by 50 percent in December and January, and expects further reductions in the next two months.  Aluminum manufacturers such as Kaiser and Alcoa are also idling smelters to sell power back to local utilities to profit from higher power prices.  By some estimates, as much as 1 million tonnes of aluminum smelting has been mothballed due to high energy costs.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Large Copper Producer Cuts Production On Profit Fears Due to High Power Prices: </w:t>
            </w:r>
            <w:r>
              <w:rPr>
                <w:rFonts w:cs="Times New Roman" w:ascii="Times New Roman" w:hAnsi="Times New Roman"/>
                <w:sz w:val="22"/>
              </w:rPr>
              <w:t xml:space="preserve">Phelps Dodge, one of the world’s largest copper miners, reported that soaring energy costs might lead to plant closures in New Mexico (Chino and Tyrone plants) and Arizona (Sierrita plant), which accounts for 20 percent of its production.  Phelps has sold power on the open market but its net profits after possible plant closures are still uncertain.  </w:t>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tbl>
      <w:tblPr>
        <w:tblW w:w="10188" w:type="dxa"/>
        <w:jc w:val="start"/>
        <w:tblInd w:w="0" w:type="dxa"/>
        <w:tblLayout w:type="fixed"/>
        <w:tblCellMar>
          <w:top w:w="0" w:type="dxa"/>
          <w:start w:w="108" w:type="dxa"/>
          <w:bottom w:w="0" w:type="dxa"/>
          <w:end w:w="108" w:type="dxa"/>
        </w:tblCellMar>
      </w:tblPr>
      <w:tblGrid>
        <w:gridCol w:w="1458"/>
        <w:gridCol w:w="1800"/>
        <w:gridCol w:w="1170"/>
        <w:gridCol w:w="2070"/>
        <w:gridCol w:w="2070"/>
        <w:gridCol w:w="1620"/>
      </w:tblGrid>
      <w:tr>
        <w:trPr/>
        <w:tc>
          <w:tcPr>
            <w:tcW w:w="10188" w:type="dxa"/>
            <w:gridSpan w:val="6"/>
            <w:tcBorders>
              <w:start w:val="single" w:sz="4" w:space="0" w:color="FFFFFF"/>
              <w:bottom w:val="single" w:sz="4" w:space="0" w:color="FFFFFF"/>
              <w:end w:val="single" w:sz="4" w:space="0" w:color="FFFFFF"/>
            </w:tcBorders>
            <w:shd w:fill="FFFFFF" w:val="clear"/>
          </w:tcPr>
          <w:p>
            <w:pPr>
              <w:pStyle w:val="Normal"/>
              <w:snapToGrid w:val="false"/>
              <w:rPr>
                <w:b/>
                <w:color w:val="FFFFFF"/>
                <w:sz w:val="28"/>
              </w:rPr>
            </w:pPr>
            <w:r>
              <w:rPr>
                <w:b/>
                <w:color w:val="FFFFFF"/>
                <w:sz w:val="28"/>
              </w:rPr>
            </w:r>
          </w:p>
        </w:tc>
      </w:tr>
      <w:tr>
        <w:trPr/>
        <w:tc>
          <w:tcPr>
            <w:tcW w:w="10188" w:type="dxa"/>
            <w:gridSpan w:val="6"/>
            <w:tcBorders>
              <w:start w:val="single" w:sz="4" w:space="0" w:color="000000"/>
              <w:bottom w:val="single" w:sz="4" w:space="0" w:color="000000"/>
              <w:end w:val="single" w:sz="4" w:space="0" w:color="000000"/>
            </w:tcBorders>
            <w:shd w:fill="0000FF" w:val="clear"/>
          </w:tcPr>
          <w:p>
            <w:pPr>
              <w:pStyle w:val="Normal"/>
              <w:rPr>
                <w:b/>
                <w:color w:val="FFFFFF"/>
                <w:sz w:val="32"/>
              </w:rPr>
            </w:pPr>
            <w:r>
              <w:rPr>
                <w:b/>
                <w:color w:val="FFFFFF"/>
                <w:sz w:val="32"/>
                <w:shd w:fill="0000FF" w:val="clear"/>
              </w:rPr>
              <w:t>G-7+ Central Bank Monitor</w:t>
            </w:r>
          </w:p>
        </w:tc>
      </w:tr>
      <w:tr>
        <w:trPr/>
        <w:tc>
          <w:tcPr>
            <w:tcW w:w="1458" w:type="dxa"/>
            <w:tcBorders>
              <w:top w:val="single" w:sz="4" w:space="0" w:color="000000"/>
              <w:start w:val="single" w:sz="4" w:space="0" w:color="000000"/>
              <w:end w:val="single" w:sz="4" w:space="0" w:color="000000"/>
            </w:tcBorders>
          </w:tcPr>
          <w:p>
            <w:pPr>
              <w:pStyle w:val="Normal"/>
              <w:jc w:val="center"/>
              <w:rPr/>
            </w:pPr>
            <w:r>
              <w:rPr/>
              <w:t>Country</w:t>
            </w:r>
          </w:p>
        </w:tc>
        <w:tc>
          <w:tcPr>
            <w:tcW w:w="1800" w:type="dxa"/>
            <w:tcBorders>
              <w:top w:val="single" w:sz="4" w:space="0" w:color="000000"/>
              <w:start w:val="single" w:sz="4" w:space="0" w:color="000000"/>
              <w:end w:val="single" w:sz="4" w:space="0" w:color="000000"/>
            </w:tcBorders>
          </w:tcPr>
          <w:p>
            <w:pPr>
              <w:pStyle w:val="Normal"/>
              <w:jc w:val="center"/>
              <w:rPr/>
            </w:pPr>
            <w:r>
              <w:rPr/>
              <w:t>Official Interest Rate</w:t>
            </w:r>
          </w:p>
        </w:tc>
        <w:tc>
          <w:tcPr>
            <w:tcW w:w="1170" w:type="dxa"/>
            <w:tcBorders>
              <w:top w:val="single" w:sz="4" w:space="0" w:color="000000"/>
              <w:start w:val="single" w:sz="4" w:space="0" w:color="000000"/>
              <w:end w:val="single" w:sz="4" w:space="0" w:color="000000"/>
            </w:tcBorders>
          </w:tcPr>
          <w:p>
            <w:pPr>
              <w:pStyle w:val="Normal"/>
              <w:jc w:val="center"/>
              <w:rPr/>
            </w:pPr>
            <w:r>
              <w:rPr/>
              <w:t>Current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Change from prev. bias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Last Change </w:t>
            </w:r>
          </w:p>
        </w:tc>
        <w:tc>
          <w:tcPr>
            <w:tcW w:w="1620" w:type="dxa"/>
            <w:tcBorders>
              <w:top w:val="single" w:sz="4" w:space="0" w:color="000000"/>
              <w:start w:val="single" w:sz="4" w:space="0" w:color="000000"/>
              <w:end w:val="single" w:sz="4" w:space="0" w:color="000000"/>
            </w:tcBorders>
          </w:tcPr>
          <w:p>
            <w:pPr>
              <w:pStyle w:val="Normal"/>
              <w:jc w:val="center"/>
              <w:rPr>
                <w:color w:val="FF0000"/>
              </w:rPr>
            </w:pPr>
            <w:r>
              <w:rPr/>
              <w:t>Next MPC Mtg.</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i/>
                <w:i/>
                <w:sz w:val="22"/>
              </w:rPr>
            </w:pPr>
            <w:r>
              <w:rPr>
                <w:i/>
                <w:sz w:val="22"/>
              </w:rPr>
              <w:t>The Americas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United States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Federal funds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6.00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sz w:val="22"/>
              </w:rPr>
              <w:t>19 Dec 00</w:t>
            </w:r>
            <w:r>
              <w:rPr>
                <w:color w:val="FF0000"/>
                <w:sz w:val="22"/>
              </w:rPr>
              <w:t xml:space="preserve"> </w:t>
            </w:r>
            <w:r>
              <w:rPr>
                <w:sz w:val="22"/>
              </w:rPr>
              <w:t>(-50 bps)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 Jan 01 (-50bps)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30 – 31 Jan 2001</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1800" w:type="dxa"/>
            <w:tcBorders>
              <w:top w:val="single" w:sz="4" w:space="0" w:color="000000"/>
              <w:start w:val="single" w:sz="4" w:space="0" w:color="000000"/>
              <w:end w:val="single" w:sz="4" w:space="0" w:color="000000"/>
            </w:tcBorders>
          </w:tcPr>
          <w:p>
            <w:pPr>
              <w:pStyle w:val="Normal"/>
              <w:rPr>
                <w:sz w:val="22"/>
              </w:rPr>
            </w:pPr>
            <w:r>
              <w:rPr>
                <w:sz w:val="22"/>
              </w:rPr>
              <w:t>Overnight rate</w:t>
            </w:r>
          </w:p>
        </w:tc>
        <w:tc>
          <w:tcPr>
            <w:tcW w:w="1170" w:type="dxa"/>
            <w:tcBorders>
              <w:top w:val="single" w:sz="4" w:space="0" w:color="000000"/>
              <w:start w:val="single" w:sz="4" w:space="0" w:color="000000"/>
              <w:end w:val="single" w:sz="4" w:space="0" w:color="000000"/>
            </w:tcBorders>
          </w:tcPr>
          <w:p>
            <w:pPr>
              <w:pStyle w:val="Normal"/>
              <w:jc w:val="center"/>
              <w:rPr>
                <w:color w:val="FF0000"/>
                <w:sz w:val="22"/>
              </w:rPr>
            </w:pPr>
            <w:r>
              <w:rPr>
                <w:color w:val="FF0000"/>
                <w:sz w:val="22"/>
              </w:rPr>
              <w:t>5.50</w:t>
            </w:r>
          </w:p>
        </w:tc>
        <w:tc>
          <w:tcPr>
            <w:tcW w:w="2070" w:type="dxa"/>
            <w:tcBorders>
              <w:top w:val="single" w:sz="4" w:space="0" w:color="000000"/>
              <w:start w:val="single" w:sz="4" w:space="0" w:color="000000"/>
              <w:end w:val="single" w:sz="4" w:space="0" w:color="000000"/>
            </w:tcBorders>
          </w:tcPr>
          <w:p>
            <w:pPr>
              <w:pStyle w:val="Normal"/>
              <w:rPr>
                <w:color w:val="FF0000"/>
                <w:sz w:val="22"/>
              </w:rPr>
            </w:pPr>
            <w:r>
              <w:rPr>
                <w:rFonts w:eastAsia="Garamond"/>
                <w:color w:val="FF0000"/>
                <w:sz w:val="22"/>
              </w:rPr>
              <w:t xml:space="preserve">  </w:t>
            </w:r>
            <w:r>
              <w:rPr>
                <w:color w:val="FF0000"/>
                <w:sz w:val="22"/>
              </w:rPr>
              <w:t>23 Jan 01  (-25 bps)</w:t>
            </w:r>
          </w:p>
        </w:tc>
        <w:tc>
          <w:tcPr>
            <w:tcW w:w="2070" w:type="dxa"/>
            <w:tcBorders>
              <w:top w:val="single" w:sz="4" w:space="0" w:color="000000"/>
              <w:start w:val="single" w:sz="4" w:space="0" w:color="000000"/>
              <w:end w:val="single" w:sz="4" w:space="0" w:color="000000"/>
            </w:tcBorders>
          </w:tcPr>
          <w:p>
            <w:pPr>
              <w:pStyle w:val="Normal"/>
              <w:rPr>
                <w:color w:val="FF0000"/>
                <w:sz w:val="22"/>
              </w:rPr>
            </w:pPr>
            <w:r>
              <w:rPr>
                <w:rFonts w:eastAsia="Garamond"/>
                <w:color w:val="FF0000"/>
                <w:sz w:val="22"/>
              </w:rPr>
              <w:t xml:space="preserve">  </w:t>
            </w:r>
            <w:r>
              <w:rPr>
                <w:color w:val="FF0000"/>
                <w:sz w:val="22"/>
              </w:rPr>
              <w:t>23 Jan 01 (-25bps)</w:t>
            </w:r>
          </w:p>
        </w:tc>
        <w:tc>
          <w:tcPr>
            <w:tcW w:w="1620" w:type="dxa"/>
            <w:tcBorders>
              <w:top w:val="single" w:sz="4" w:space="0" w:color="000000"/>
              <w:start w:val="single" w:sz="4" w:space="0" w:color="000000"/>
              <w:end w:val="single" w:sz="4" w:space="0" w:color="000000"/>
            </w:tcBorders>
          </w:tcPr>
          <w:p>
            <w:pPr>
              <w:pStyle w:val="Normal"/>
              <w:jc w:val="center"/>
              <w:rPr>
                <w:sz w:val="22"/>
                <w:highlight w:val="yellow"/>
              </w:rPr>
            </w:pPr>
            <w:r>
              <w:rPr>
                <w:rFonts w:eastAsia="Garamond"/>
                <w:sz w:val="22"/>
              </w:rPr>
              <w:t xml:space="preserve"> </w:t>
            </w:r>
            <w:r>
              <w:rPr>
                <w:sz w:val="22"/>
              </w:rPr>
              <w:t>6 Mar 2001</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i/>
                <w:i/>
                <w:sz w:val="22"/>
              </w:rPr>
            </w:pPr>
            <w:r>
              <w:rPr>
                <w:i/>
                <w:sz w:val="22"/>
              </w:rPr>
              <w:t xml:space="preserve">Europe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ECB</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ECB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vertAlign w:val="superscript"/>
              </w:rPr>
            </w:pPr>
            <w:r>
              <w:rPr>
                <w:sz w:val="22"/>
              </w:rPr>
              <w:t xml:space="preserve">4.75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 Nov 99 (+225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rFonts w:eastAsia="Garamond"/>
                <w:color w:val="FF0000"/>
                <w:sz w:val="22"/>
              </w:rPr>
              <w:t xml:space="preserve"> </w:t>
            </w:r>
            <w:r>
              <w:rPr>
                <w:sz w:val="22"/>
              </w:rPr>
              <w:t>5 Oct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color w:val="FF0000"/>
                <w:sz w:val="22"/>
              </w:rPr>
            </w:pPr>
            <w:r>
              <w:rPr>
                <w:color w:val="FF0000"/>
                <w:sz w:val="22"/>
              </w:rPr>
              <w:t>1 Feb 2001</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U.K.</w:t>
            </w:r>
          </w:p>
        </w:tc>
        <w:tc>
          <w:tcPr>
            <w:tcW w:w="1800" w:type="dxa"/>
            <w:tcBorders>
              <w:top w:val="single" w:sz="4" w:space="0" w:color="000000"/>
              <w:start w:val="single" w:sz="4" w:space="0" w:color="000000"/>
              <w:end w:val="single" w:sz="4" w:space="0" w:color="000000"/>
            </w:tcBorders>
          </w:tcPr>
          <w:p>
            <w:pPr>
              <w:pStyle w:val="Normal"/>
              <w:rPr>
                <w:sz w:val="22"/>
              </w:rPr>
            </w:pPr>
            <w:r>
              <w:rPr>
                <w:sz w:val="22"/>
              </w:rPr>
              <w:t>Base rate</w:t>
            </w:r>
          </w:p>
        </w:tc>
        <w:tc>
          <w:tcPr>
            <w:tcW w:w="1170" w:type="dxa"/>
            <w:tcBorders>
              <w:top w:val="single" w:sz="4" w:space="0" w:color="000000"/>
              <w:start w:val="single" w:sz="4" w:space="0" w:color="000000"/>
              <w:end w:val="single" w:sz="4" w:space="0" w:color="000000"/>
            </w:tcBorders>
          </w:tcPr>
          <w:p>
            <w:pPr>
              <w:pStyle w:val="Normal"/>
              <w:jc w:val="center"/>
              <w:rPr>
                <w:sz w:val="22"/>
              </w:rPr>
            </w:pPr>
            <w:r>
              <w:rPr>
                <w:sz w:val="22"/>
              </w:rPr>
              <w:t>6.00</w:t>
            </w:r>
          </w:p>
        </w:tc>
        <w:tc>
          <w:tcPr>
            <w:tcW w:w="2070" w:type="dxa"/>
            <w:tcBorders>
              <w:top w:val="single" w:sz="4" w:space="0" w:color="000000"/>
              <w:start w:val="single" w:sz="4" w:space="0" w:color="000000"/>
              <w:end w:val="single" w:sz="4" w:space="0" w:color="000000"/>
            </w:tcBorders>
          </w:tcPr>
          <w:p>
            <w:pPr>
              <w:pStyle w:val="Normal"/>
              <w:rPr>
                <w:color w:val="FF0000"/>
                <w:sz w:val="22"/>
              </w:rPr>
            </w:pPr>
            <w:r>
              <w:rPr>
                <w:color w:val="FF0000"/>
                <w:sz w:val="22"/>
              </w:rPr>
              <w:t>11 Jan 01 (+/- 0 bps)</w:t>
            </w:r>
          </w:p>
        </w:tc>
        <w:tc>
          <w:tcPr>
            <w:tcW w:w="2070" w:type="dxa"/>
            <w:tcBorders>
              <w:top w:val="single" w:sz="4" w:space="0" w:color="000000"/>
              <w:start w:val="single" w:sz="4" w:space="0" w:color="000000"/>
              <w:end w:val="single" w:sz="4" w:space="0" w:color="000000"/>
            </w:tcBorders>
          </w:tcPr>
          <w:p>
            <w:pPr>
              <w:pStyle w:val="Normal"/>
              <w:rPr>
                <w:sz w:val="22"/>
              </w:rPr>
            </w:pPr>
            <w:r>
              <w:rPr>
                <w:sz w:val="22"/>
              </w:rPr>
              <w:t>10 Feb 00 (+25 bps)</w:t>
            </w:r>
          </w:p>
        </w:tc>
        <w:tc>
          <w:tcPr>
            <w:tcW w:w="1620" w:type="dxa"/>
            <w:tcBorders>
              <w:top w:val="single" w:sz="4" w:space="0" w:color="000000"/>
              <w:start w:val="single" w:sz="4" w:space="0" w:color="000000"/>
              <w:end w:val="single" w:sz="4" w:space="0" w:color="000000"/>
            </w:tcBorders>
          </w:tcPr>
          <w:p>
            <w:pPr>
              <w:pStyle w:val="Normal"/>
              <w:jc w:val="center"/>
              <w:rPr>
                <w:sz w:val="22"/>
                <w:highlight w:val="yellow"/>
              </w:rPr>
            </w:pPr>
            <w:r>
              <w:rPr>
                <w:rFonts w:eastAsia="Garamond"/>
                <w:sz w:val="22"/>
              </w:rPr>
              <w:t xml:space="preserve"> </w:t>
            </w:r>
            <w:r>
              <w:rPr>
                <w:sz w:val="22"/>
              </w:rPr>
              <w:t>7 – 8 Feb 2001</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DFDFDF" w:val="clear"/>
          </w:tcPr>
          <w:p>
            <w:pPr>
              <w:pStyle w:val="Normal"/>
              <w:rPr>
                <w:i/>
                <w:i/>
                <w:sz w:val="22"/>
              </w:rPr>
            </w:pPr>
            <w:r>
              <w:rPr>
                <w:i/>
                <w:sz w:val="22"/>
              </w:rPr>
              <w:t>Asia/Pacific</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RBA 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Nov 99 (+150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 Feb 2001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New Zealand</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Nov 99 (+200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May 00 (+50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highlight w:val="yellow"/>
              </w:rPr>
            </w:pPr>
            <w:r>
              <w:rPr>
                <w:sz w:val="22"/>
              </w:rPr>
              <w:t>14 Mar 2001</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Overnight call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(+24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rFonts w:eastAsia="Garamond"/>
                <w:sz w:val="22"/>
              </w:rPr>
              <w:t xml:space="preserve"> </w:t>
            </w:r>
            <w:r>
              <w:rPr>
                <w:sz w:val="22"/>
              </w:rPr>
              <w:t>9 Feb 2001</w:t>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pPr>
      <w:r>
        <w:rPr/>
      </w:r>
      <w:r>
        <w:br w:type="page"/>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r>
    </w:p>
    <w:tbl>
      <w:tblPr>
        <w:tblW w:w="10890" w:type="dxa"/>
        <w:jc w:val="start"/>
        <w:tblInd w:w="-702" w:type="dxa"/>
        <w:tblLayout w:type="fixed"/>
        <w:tblCellMar>
          <w:top w:w="0" w:type="dxa"/>
          <w:start w:w="108" w:type="dxa"/>
          <w:bottom w:w="0" w:type="dxa"/>
          <w:end w:w="108" w:type="dxa"/>
        </w:tblCellMar>
      </w:tblPr>
      <w:tblGrid>
        <w:gridCol w:w="1890"/>
        <w:gridCol w:w="1890"/>
        <w:gridCol w:w="1800"/>
        <w:gridCol w:w="2520"/>
        <w:gridCol w:w="1440"/>
        <w:gridCol w:w="180"/>
        <w:gridCol w:w="90"/>
        <w:gridCol w:w="1080"/>
      </w:tblGrid>
      <w:tr>
        <w:trPr>
          <w:trHeight w:val="287" w:hRule="atLeast"/>
        </w:trPr>
        <w:tc>
          <w:tcPr>
            <w:tcW w:w="10890" w:type="dxa"/>
            <w:gridSpan w:val="8"/>
            <w:tcBorders>
              <w:top w:val="single" w:sz="4" w:space="0" w:color="000000"/>
              <w:start w:val="single" w:sz="4" w:space="0" w:color="000000"/>
              <w:bottom w:val="single" w:sz="4" w:space="0" w:color="000000"/>
              <w:end w:val="single" w:sz="4" w:space="0" w:color="000000"/>
            </w:tcBorders>
            <w:shd w:fill="0000FF" w:val="clear"/>
          </w:tcPr>
          <w:p>
            <w:pPr>
              <w:pStyle w:val="Normal"/>
              <w:rPr/>
            </w:pPr>
            <w:r>
              <w:rPr>
                <w:b/>
                <w:color w:val="FFFFFF"/>
                <w:sz w:val="28"/>
              </w:rPr>
              <w:t xml:space="preserve">Economic Calendar – January  29 to February  2, 2001                          </w:t>
            </w:r>
            <w:r>
              <w:rPr>
                <w:b/>
                <w:color w:val="FFFFFF"/>
                <w:sz w:val="22"/>
              </w:rPr>
              <w:t xml:space="preserve">                  (all times are CST)</w:t>
            </w:r>
          </w:p>
        </w:tc>
      </w:tr>
      <w:tr>
        <w:trPr/>
        <w:tc>
          <w:tcPr>
            <w:tcW w:w="1890" w:type="dxa"/>
            <w:tcBorders>
              <w:top w:val="single" w:sz="4" w:space="0" w:color="000000"/>
              <w:start w:val="single" w:sz="4" w:space="0" w:color="000000"/>
              <w:end w:val="single" w:sz="4" w:space="0" w:color="000000"/>
            </w:tcBorders>
          </w:tcPr>
          <w:p>
            <w:pPr>
              <w:pStyle w:val="Heading3"/>
              <w:spacing w:before="0" w:after="0"/>
              <w:ind w:hanging="0" w:start="0"/>
              <w:jc w:val="center"/>
              <w:rPr/>
            </w:pPr>
            <w:r>
              <w:rPr/>
              <w:t>Country</w:t>
            </w:r>
          </w:p>
        </w:tc>
        <w:tc>
          <w:tcPr>
            <w:tcW w:w="1890" w:type="dxa"/>
            <w:tcBorders>
              <w:top w:val="single" w:sz="4" w:space="0" w:color="000000"/>
              <w:start w:val="single" w:sz="4" w:space="0" w:color="000000"/>
              <w:end w:val="single" w:sz="4" w:space="0" w:color="000000"/>
            </w:tcBorders>
          </w:tcPr>
          <w:p>
            <w:pPr>
              <w:pStyle w:val="Normal"/>
              <w:jc w:val="center"/>
              <w:rPr>
                <w:b/>
                <w:sz w:val="22"/>
              </w:rPr>
            </w:pPr>
            <w:r>
              <w:rPr>
                <w:b/>
                <w:sz w:val="22"/>
              </w:rPr>
              <w:t>Mon. Jan. 29</w:t>
            </w:r>
          </w:p>
        </w:tc>
        <w:tc>
          <w:tcPr>
            <w:tcW w:w="1800" w:type="dxa"/>
            <w:tcBorders>
              <w:top w:val="single" w:sz="4" w:space="0" w:color="000000"/>
              <w:start w:val="single" w:sz="4" w:space="0" w:color="000000"/>
              <w:end w:val="single" w:sz="4" w:space="0" w:color="000000"/>
            </w:tcBorders>
          </w:tcPr>
          <w:p>
            <w:pPr>
              <w:pStyle w:val="Normal"/>
              <w:jc w:val="center"/>
              <w:rPr>
                <w:b/>
                <w:sz w:val="22"/>
              </w:rPr>
            </w:pPr>
            <w:r>
              <w:rPr>
                <w:b/>
                <w:sz w:val="22"/>
              </w:rPr>
              <w:t>Tues. Jan. 30</w:t>
            </w:r>
          </w:p>
        </w:tc>
        <w:tc>
          <w:tcPr>
            <w:tcW w:w="2520" w:type="dxa"/>
            <w:tcBorders>
              <w:top w:val="single" w:sz="4" w:space="0" w:color="000000"/>
              <w:start w:val="single" w:sz="4" w:space="0" w:color="000000"/>
              <w:end w:val="single" w:sz="4" w:space="0" w:color="000000"/>
            </w:tcBorders>
          </w:tcPr>
          <w:p>
            <w:pPr>
              <w:pStyle w:val="Normal"/>
              <w:jc w:val="center"/>
              <w:rPr>
                <w:b/>
                <w:sz w:val="22"/>
              </w:rPr>
            </w:pPr>
            <w:r>
              <w:rPr>
                <w:b/>
                <w:sz w:val="22"/>
              </w:rPr>
              <w:t>Wed. Jan. 31</w:t>
            </w:r>
          </w:p>
        </w:tc>
        <w:tc>
          <w:tcPr>
            <w:tcW w:w="1440" w:type="dxa"/>
            <w:tcBorders>
              <w:top w:val="single" w:sz="4" w:space="0" w:color="000000"/>
              <w:start w:val="single" w:sz="4" w:space="0" w:color="000000"/>
              <w:end w:val="single" w:sz="4" w:space="0" w:color="000000"/>
            </w:tcBorders>
          </w:tcPr>
          <w:p>
            <w:pPr>
              <w:pStyle w:val="Normal"/>
              <w:jc w:val="center"/>
              <w:rPr>
                <w:b/>
                <w:sz w:val="22"/>
              </w:rPr>
            </w:pPr>
            <w:r>
              <w:rPr>
                <w:b/>
                <w:sz w:val="22"/>
              </w:rPr>
              <w:t>Thurs. Feb. 1</w:t>
            </w:r>
          </w:p>
        </w:tc>
        <w:tc>
          <w:tcPr>
            <w:tcW w:w="1350" w:type="dxa"/>
            <w:gridSpan w:val="3"/>
            <w:tcBorders>
              <w:top w:val="single" w:sz="4" w:space="0" w:color="000000"/>
              <w:start w:val="single" w:sz="4" w:space="0" w:color="000000"/>
              <w:end w:val="single" w:sz="4" w:space="0" w:color="000000"/>
            </w:tcBorders>
          </w:tcPr>
          <w:p>
            <w:pPr>
              <w:pStyle w:val="Normal"/>
              <w:jc w:val="center"/>
              <w:rPr>
                <w:b/>
                <w:sz w:val="22"/>
              </w:rPr>
            </w:pPr>
            <w:r>
              <w:rPr>
                <w:b/>
                <w:sz w:val="22"/>
              </w:rPr>
              <w:t>Fri. Feb. 2</w:t>
            </w:r>
          </w:p>
        </w:tc>
      </w:tr>
      <w:tr>
        <w:trPr/>
        <w:tc>
          <w:tcPr>
            <w:tcW w:w="10890" w:type="dxa"/>
            <w:gridSpan w:val="8"/>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The Americas</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U.S.</w:t>
            </w:r>
          </w:p>
          <w:p>
            <w:pPr>
              <w:pStyle w:val="Normal"/>
              <w:rPr>
                <w:b/>
                <w:sz w:val="22"/>
              </w:rPr>
            </w:pPr>
            <w:r>
              <w:rPr>
                <w:b/>
                <w:sz w:val="22"/>
              </w:rPr>
            </w:r>
          </w:p>
          <w:p>
            <w:pPr>
              <w:pStyle w:val="Normal"/>
              <w:rPr>
                <w:b/>
                <w:sz w:val="22"/>
              </w:rPr>
            </w:pPr>
            <w:r>
              <w:rPr>
                <w:b/>
                <w:sz w:val="22"/>
              </w:rPr>
            </w:r>
          </w:p>
        </w:tc>
        <w:tc>
          <w:tcPr>
            <w:tcW w:w="1890" w:type="dxa"/>
            <w:tcBorders>
              <w:top w:val="single" w:sz="4" w:space="0" w:color="000000"/>
              <w:start w:val="single" w:sz="4" w:space="0" w:color="000000"/>
              <w:bottom w:val="single" w:sz="4" w:space="0" w:color="000000"/>
              <w:end w:val="single" w:sz="4" w:space="0" w:color="000000"/>
            </w:tcBorders>
          </w:tcPr>
          <w:p>
            <w:pPr>
              <w:pStyle w:val="BodyText2"/>
              <w:rPr>
                <w:color w:val="auto"/>
              </w:rPr>
            </w:pPr>
            <w:r>
              <w:rPr>
                <w:color w:val="auto"/>
              </w:rPr>
              <w:t>Auction of T-Bills</w:t>
            </w:r>
          </w:p>
          <w:p>
            <w:pPr>
              <w:pStyle w:val="BodyText2"/>
              <w:rPr>
                <w:color w:val="auto"/>
              </w:rPr>
            </w:pPr>
            <w:r>
              <w:rPr>
                <w:color w:val="auto"/>
              </w:rPr>
              <w:t>$24.0 Bil</w:t>
            </w:r>
          </w:p>
          <w:p>
            <w:pPr>
              <w:pStyle w:val="BodyText2"/>
              <w:rPr>
                <w:color w:val="auto"/>
              </w:rPr>
            </w:pPr>
            <w:r>
              <w:rPr>
                <w:color w:val="auto"/>
              </w:rPr>
            </w:r>
          </w:p>
          <w:p>
            <w:pPr>
              <w:pStyle w:val="BodyText2"/>
              <w:jc w:val="center"/>
              <w:rPr/>
            </w:pPr>
            <w:r>
              <w:rPr/>
              <w:t>Treasury to announce market financing estimates for Q1 and Q2</w:t>
            </w:r>
          </w:p>
        </w:tc>
        <w:tc>
          <w:tcPr>
            <w:tcW w:w="180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00"/>
              </w:rPr>
            </w:pPr>
            <w:r>
              <w:rPr>
                <w:rFonts w:cs="Garamond" w:ascii="Garamond" w:hAnsi="Garamond"/>
                <w:color w:val="000000"/>
              </w:rPr>
              <w:t>Redbook</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Consumer Confidence (Jan)</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00"/>
              </w:rPr>
            </w:pPr>
            <w:r>
              <w:rPr>
                <w:rFonts w:cs="Garamond" w:ascii="Garamond" w:hAnsi="Garamond"/>
                <w:color w:val="000000"/>
              </w:rPr>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Garamond" w:hAnsi="Garamond" w:cs="Garamond"/>
                <w:color w:val="FF0000"/>
              </w:rPr>
            </w:pPr>
            <w:r>
              <w:rPr>
                <w:rFonts w:cs="Garamond" w:ascii="Garamond" w:hAnsi="Garamond"/>
                <w:color w:val="FF0000"/>
              </w:rPr>
              <w:t>FOMC Meeting</w:t>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Garamond" w:hAnsi="Garamond" w:cs="Garamond"/>
                <w:color w:val="FF0000"/>
              </w:rPr>
            </w:pPr>
            <w:r>
              <w:rPr>
                <w:rFonts w:cs="Garamond" w:ascii="Garamond" w:hAnsi="Garamond"/>
                <w:color w:val="FF0000"/>
              </w:rPr>
              <w:t>(2 Days)</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color w:val="FF0000"/>
              </w:rPr>
            </w:r>
          </w:p>
          <w:p>
            <w:pPr>
              <w:pStyle w:val="MacroText"/>
              <w:tabs>
                <w:tab w:val="clear" w:pos="480"/>
                <w:tab w:val="clear" w:pos="960"/>
                <w:tab w:val="clear" w:pos="1440"/>
                <w:tab w:val="clear" w:pos="1920"/>
                <w:tab w:val="clear" w:pos="2400"/>
                <w:tab w:val="clear" w:pos="2880"/>
                <w:tab w:val="clear" w:pos="3360"/>
                <w:tab w:val="clear" w:pos="3840"/>
                <w:tab w:val="clear" w:pos="4320"/>
              </w:tabs>
              <w:jc w:val="center"/>
              <w:rPr>
                <w:rFonts w:ascii="Garamond" w:hAnsi="Garamond" w:cs="Garamond"/>
                <w:color w:val="000000"/>
              </w:rPr>
            </w:pPr>
            <w:r>
              <w:rPr>
                <w:rFonts w:cs="Garamond" w:ascii="Garamond" w:hAnsi="Garamond"/>
                <w:color w:val="FF0000"/>
              </w:rPr>
              <w:t>Former Fed Vice Chair Rivlin and other economists discuss the outlook for Fed action in an Economic Strategy Institute panel</w:t>
            </w:r>
          </w:p>
        </w:tc>
        <w:tc>
          <w:tcPr>
            <w:tcW w:w="2520" w:type="dxa"/>
            <w:tcBorders>
              <w:top w:val="single" w:sz="4" w:space="0" w:color="000000"/>
              <w:start w:val="single" w:sz="4" w:space="0" w:color="000000"/>
              <w:bottom w:val="single" w:sz="4" w:space="0" w:color="000000"/>
              <w:end w:val="single" w:sz="4" w:space="0" w:color="000000"/>
            </w:tcBorders>
          </w:tcPr>
          <w:p>
            <w:pPr>
              <w:pStyle w:val="Normal"/>
              <w:ind w:end="-288"/>
              <w:rPr/>
            </w:pPr>
            <w:r>
              <w:rPr/>
              <w:t>Mortgage Applications (Jan 26)</w:t>
            </w:r>
          </w:p>
          <w:p>
            <w:pPr>
              <w:pStyle w:val="Normal"/>
              <w:ind w:end="-288"/>
              <w:rPr>
                <w:color w:val="000080"/>
              </w:rPr>
            </w:pPr>
            <w:r>
              <w:rPr>
                <w:color w:val="000080"/>
              </w:rPr>
              <w:t>Real GDP (Q4)</w:t>
            </w:r>
          </w:p>
          <w:p>
            <w:pPr>
              <w:pStyle w:val="Normal"/>
              <w:ind w:end="-288"/>
              <w:rPr/>
            </w:pPr>
            <w:r>
              <w:rPr/>
              <w:t>Chicago PMI (Jan)</w:t>
            </w:r>
          </w:p>
          <w:p>
            <w:pPr>
              <w:pStyle w:val="Normal"/>
              <w:ind w:end="-288"/>
              <w:rPr>
                <w:color w:val="000080"/>
              </w:rPr>
            </w:pPr>
            <w:r>
              <w:rPr>
                <w:color w:val="000080"/>
              </w:rPr>
              <w:t>New Home Sales (Dec)</w:t>
            </w:r>
          </w:p>
          <w:p>
            <w:pPr>
              <w:pStyle w:val="Normal"/>
              <w:ind w:end="-288"/>
              <w:rPr/>
            </w:pPr>
            <w:r>
              <w:rPr/>
              <w:t>Farm Prices</w:t>
            </w:r>
          </w:p>
          <w:p>
            <w:pPr>
              <w:pStyle w:val="Normal"/>
              <w:ind w:end="-288"/>
              <w:rPr>
                <w:color w:val="000080"/>
              </w:rPr>
            </w:pPr>
            <w:r>
              <w:rPr>
                <w:color w:val="000080"/>
              </w:rPr>
              <w:t>Chain Weight Price Index (Q4)</w:t>
            </w:r>
          </w:p>
          <w:p>
            <w:pPr>
              <w:pStyle w:val="Normal"/>
              <w:ind w:end="-288"/>
              <w:rPr>
                <w:color w:val="000080"/>
              </w:rPr>
            </w:pPr>
            <w:r>
              <w:rPr>
                <w:color w:val="000080"/>
              </w:rPr>
            </w:r>
          </w:p>
          <w:p>
            <w:pPr>
              <w:pStyle w:val="Normal"/>
              <w:ind w:end="-288"/>
              <w:jc w:val="center"/>
              <w:rPr>
                <w:color w:val="FF0000"/>
              </w:rPr>
            </w:pPr>
            <w:r>
              <w:rPr>
                <w:color w:val="FF0000"/>
              </w:rPr>
              <w:t>FOMC Meeting</w:t>
            </w:r>
          </w:p>
          <w:p>
            <w:pPr>
              <w:pStyle w:val="Normal"/>
              <w:ind w:end="-288"/>
              <w:jc w:val="center"/>
              <w:rPr>
                <w:color w:val="FF0000"/>
              </w:rPr>
            </w:pPr>
            <w:r>
              <w:rPr>
                <w:color w:val="FF0000"/>
              </w:rPr>
              <w:t>Continued</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 xml:space="preserve">Jobless Claims </w:t>
            </w:r>
          </w:p>
          <w:p>
            <w:pPr>
              <w:pStyle w:val="Normal"/>
              <w:rPr/>
            </w:pPr>
            <w:r>
              <w:rPr/>
              <w:t>(Jan 27)</w:t>
            </w:r>
          </w:p>
          <w:p>
            <w:pPr>
              <w:pStyle w:val="Normal"/>
              <w:rPr/>
            </w:pPr>
            <w:r>
              <w:rPr/>
              <w:t>Personal Income (Dec)</w:t>
            </w:r>
          </w:p>
          <w:p>
            <w:pPr>
              <w:pStyle w:val="Normal"/>
              <w:rPr>
                <w:color w:val="000080"/>
              </w:rPr>
            </w:pPr>
            <w:r>
              <w:rPr>
                <w:color w:val="000080"/>
              </w:rPr>
              <w:t>Personal Consumption (Dec)</w:t>
            </w:r>
          </w:p>
          <w:p>
            <w:pPr>
              <w:pStyle w:val="Normal"/>
              <w:rPr>
                <w:color w:val="000080"/>
              </w:rPr>
            </w:pPr>
            <w:r>
              <w:rPr>
                <w:color w:val="000080"/>
              </w:rPr>
              <w:t>Construction Spending (Dec)</w:t>
            </w:r>
          </w:p>
          <w:p>
            <w:pPr>
              <w:pStyle w:val="Normal"/>
              <w:rPr>
                <w:color w:val="000080"/>
              </w:rPr>
            </w:pPr>
            <w:r>
              <w:rPr>
                <w:color w:val="000080"/>
              </w:rPr>
              <w:t>NAPM (Jan)</w:t>
            </w:r>
          </w:p>
          <w:p>
            <w:pPr>
              <w:pStyle w:val="Normal"/>
              <w:rPr>
                <w:color w:val="000080"/>
              </w:rPr>
            </w:pPr>
            <w:r>
              <w:rPr>
                <w:color w:val="000080"/>
              </w:rPr>
              <w:t>Domestic Vehicle Sales (Jan)</w:t>
            </w:r>
          </w:p>
          <w:p>
            <w:pPr>
              <w:pStyle w:val="Normal"/>
              <w:rPr>
                <w:color w:val="000080"/>
              </w:rPr>
            </w:pPr>
            <w:r>
              <w:rPr>
                <w:color w:val="000080"/>
              </w:rPr>
            </w:r>
          </w:p>
          <w:p>
            <w:pPr>
              <w:pStyle w:val="Normal"/>
              <w:jc w:val="center"/>
              <w:rPr>
                <w:color w:val="FF0000"/>
              </w:rPr>
            </w:pPr>
            <w:r>
              <w:rPr>
                <w:color w:val="FF0000"/>
              </w:rPr>
              <w:t>FOMC Policy Action Record</w:t>
            </w:r>
          </w:p>
        </w:tc>
        <w:tc>
          <w:tcPr>
            <w:tcW w:w="1350" w:type="dxa"/>
            <w:gridSpan w:val="3"/>
            <w:tcBorders>
              <w:top w:val="single" w:sz="4" w:space="0" w:color="000000"/>
              <w:start w:val="single" w:sz="4" w:space="0" w:color="000000"/>
              <w:bottom w:val="single" w:sz="4" w:space="0" w:color="000000"/>
              <w:end w:val="single" w:sz="4" w:space="0" w:color="000000"/>
            </w:tcBorders>
          </w:tcPr>
          <w:p>
            <w:pPr>
              <w:pStyle w:val="Normal"/>
              <w:rPr/>
            </w:pPr>
            <w:r>
              <w:rPr/>
              <w:t>Labor Market (Jan)</w:t>
            </w:r>
          </w:p>
          <w:p>
            <w:pPr>
              <w:pStyle w:val="Normal"/>
              <w:rPr>
                <w:color w:val="000080"/>
              </w:rPr>
            </w:pPr>
            <w:r>
              <w:rPr>
                <w:color w:val="000080"/>
              </w:rPr>
              <w:t>Factory Orders (Dec)</w:t>
            </w:r>
          </w:p>
          <w:p>
            <w:pPr>
              <w:pStyle w:val="Normal"/>
              <w:rPr/>
            </w:pPr>
            <w:r>
              <w:rPr/>
              <w:t>U of Mich confid</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(Jan-Final)</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Non-Farm Payroll Employment (Jan)</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Avg. Earnings (Jan)</w:t>
            </w:r>
          </w:p>
        </w:tc>
      </w:tr>
      <w:tr>
        <w:trPr/>
        <w:tc>
          <w:tcPr>
            <w:tcW w:w="1890"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1890" w:type="dxa"/>
            <w:tcBorders>
              <w:top w:val="single" w:sz="4" w:space="0" w:color="000000"/>
              <w:start w:val="single" w:sz="4" w:space="0" w:color="000000"/>
              <w:end w:val="single" w:sz="4" w:space="0" w:color="000000"/>
            </w:tcBorders>
          </w:tcPr>
          <w:p>
            <w:pPr>
              <w:pStyle w:val="BodyText3"/>
              <w:snapToGrid w:val="false"/>
              <w:rPr>
                <w:b/>
                <w:color w:val="000080"/>
                <w:sz w:val="22"/>
              </w:rPr>
            </w:pPr>
            <w:r>
              <w:rPr>
                <w:b/>
                <w:color w:val="000080"/>
                <w:sz w:val="22"/>
              </w:rPr>
            </w:r>
          </w:p>
        </w:tc>
        <w:tc>
          <w:tcPr>
            <w:tcW w:w="1800" w:type="dxa"/>
            <w:tcBorders>
              <w:top w:val="single" w:sz="4" w:space="0" w:color="000000"/>
              <w:start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PPI (Dec)</w:t>
            </w:r>
          </w:p>
        </w:tc>
        <w:tc>
          <w:tcPr>
            <w:tcW w:w="2520" w:type="dxa"/>
            <w:tcBorders>
              <w:top w:val="single" w:sz="4" w:space="0" w:color="000000"/>
              <w:start w:val="single" w:sz="4" w:space="0" w:color="000000"/>
              <w:end w:val="single" w:sz="4" w:space="0" w:color="000000"/>
            </w:tcBorders>
          </w:tcPr>
          <w:p>
            <w:pPr>
              <w:pStyle w:val="Normal"/>
              <w:rPr>
                <w:color w:val="000080"/>
              </w:rPr>
            </w:pPr>
            <w:r>
              <w:rPr>
                <w:color w:val="000080"/>
              </w:rPr>
              <w:t>GDP (Nov)</w:t>
            </w:r>
          </w:p>
        </w:tc>
        <w:tc>
          <w:tcPr>
            <w:tcW w:w="1440" w:type="dxa"/>
            <w:tcBorders>
              <w:top w:val="single" w:sz="4" w:space="0" w:color="000000"/>
              <w:start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Business Confid</w:t>
            </w:r>
          </w:p>
        </w:tc>
        <w:tc>
          <w:tcPr>
            <w:tcW w:w="1350" w:type="dxa"/>
            <w:gridSpan w:val="3"/>
            <w:tcBorders>
              <w:top w:val="single" w:sz="4" w:space="0" w:color="000000"/>
              <w:start w:val="single" w:sz="4" w:space="0" w:color="000000"/>
              <w:end w:val="single" w:sz="4" w:space="0" w:color="000000"/>
            </w:tcBorders>
          </w:tcPr>
          <w:p>
            <w:pPr>
              <w:pStyle w:val="Normal"/>
              <w:snapToGrid w:val="false"/>
              <w:rPr>
                <w:rFonts w:ascii="Garamond" w:hAnsi="Garamond" w:cs="Garamond"/>
                <w:color w:val="000000"/>
              </w:rPr>
            </w:pPr>
            <w:r>
              <w:rPr>
                <w:rFonts w:cs="Garamond"/>
                <w:color w:val="000000"/>
              </w:rPr>
            </w:r>
          </w:p>
        </w:tc>
      </w:tr>
      <w:tr>
        <w:trPr/>
        <w:tc>
          <w:tcPr>
            <w:tcW w:w="10890" w:type="dxa"/>
            <w:gridSpan w:val="8"/>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Europe</w:t>
            </w:r>
          </w:p>
        </w:tc>
      </w:tr>
      <w:tr>
        <w:trPr>
          <w:trHeight w:val="1853" w:hRule="atLeast"/>
        </w:trPr>
        <w:tc>
          <w:tcPr>
            <w:tcW w:w="1890" w:type="dxa"/>
            <w:tcBorders>
              <w:top w:val="single" w:sz="4" w:space="0" w:color="000000"/>
              <w:start w:val="single" w:sz="4" w:space="0" w:color="000000"/>
              <w:end w:val="single" w:sz="4" w:space="0" w:color="000000"/>
            </w:tcBorders>
          </w:tcPr>
          <w:p>
            <w:pPr>
              <w:pStyle w:val="Normal"/>
              <w:rPr>
                <w:b/>
                <w:sz w:val="22"/>
              </w:rPr>
            </w:pPr>
            <w:r>
              <w:rPr>
                <w:b/>
                <w:sz w:val="22"/>
              </w:rPr>
              <w:t>ECB</w:t>
            </w:r>
          </w:p>
          <w:p>
            <w:pPr>
              <w:pStyle w:val="Normal"/>
              <w:rPr>
                <w:b/>
                <w:sz w:val="22"/>
              </w:rPr>
            </w:pPr>
            <w:r>
              <w:rPr>
                <w:b/>
                <w:sz w:val="22"/>
              </w:rPr>
            </w:r>
          </w:p>
          <w:p>
            <w:pPr>
              <w:pStyle w:val="Normal"/>
              <w:rPr>
                <w:b/>
                <w:sz w:val="22"/>
              </w:rPr>
            </w:pPr>
            <w:r>
              <w:rPr>
                <w:b/>
                <w:sz w:val="22"/>
              </w:rPr>
            </w:r>
          </w:p>
        </w:tc>
        <w:tc>
          <w:tcPr>
            <w:tcW w:w="1890" w:type="dxa"/>
            <w:tcBorders>
              <w:top w:val="single" w:sz="4" w:space="0" w:color="000000"/>
              <w:start w:val="single" w:sz="4" w:space="0" w:color="000000"/>
              <w:end w:val="single" w:sz="4" w:space="0" w:color="000000"/>
            </w:tcBorders>
          </w:tcPr>
          <w:p>
            <w:pPr>
              <w:pStyle w:val="Normal"/>
              <w:rPr/>
            </w:pPr>
            <w:r>
              <w:rPr>
                <w:b/>
              </w:rPr>
              <w:t>Euroland:</w:t>
            </w:r>
            <w:r>
              <w:rPr/>
              <w:t xml:space="preserve"> </w:t>
            </w:r>
            <w:r>
              <w:rPr>
                <w:color w:val="000080"/>
              </w:rPr>
              <w:t>Money Supply (Dec)</w:t>
            </w:r>
          </w:p>
          <w:p>
            <w:pPr>
              <w:pStyle w:val="Normal"/>
              <w:rPr>
                <w:color w:val="000080"/>
              </w:rPr>
            </w:pPr>
            <w:r>
              <w:rPr>
                <w:color w:val="000080"/>
              </w:rPr>
              <w:t>Current Account Balance (Nov)</w:t>
            </w:r>
          </w:p>
          <w:p>
            <w:pPr>
              <w:pStyle w:val="Normal"/>
              <w:rPr/>
            </w:pPr>
            <w:r>
              <w:rPr/>
              <w:t>Labor Costs (Q3)</w:t>
            </w:r>
          </w:p>
          <w:p>
            <w:pPr>
              <w:pStyle w:val="Normal"/>
              <w:rPr/>
            </w:pPr>
            <w:r>
              <w:rPr>
                <w:b/>
              </w:rPr>
              <w:t>Italy:</w:t>
            </w:r>
            <w:r>
              <w:rPr/>
              <w:t xml:space="preserve"> Trade Balance (Nov)</w:t>
            </w:r>
          </w:p>
        </w:tc>
        <w:tc>
          <w:tcPr>
            <w:tcW w:w="1800" w:type="dxa"/>
            <w:tcBorders>
              <w:top w:val="single" w:sz="4" w:space="0" w:color="000000"/>
              <w:start w:val="single" w:sz="4" w:space="0" w:color="000000"/>
              <w:end w:val="single" w:sz="4" w:space="0" w:color="000000"/>
            </w:tcBorders>
          </w:tcPr>
          <w:p>
            <w:pPr>
              <w:pStyle w:val="Normal"/>
              <w:rPr/>
            </w:pPr>
            <w:r>
              <w:rPr>
                <w:b/>
              </w:rPr>
              <w:t>Euroland:</w:t>
            </w:r>
            <w:r>
              <w:rPr/>
              <w:t xml:space="preserve"> Balance of Payments (Q3)</w:t>
            </w:r>
          </w:p>
          <w:p>
            <w:pPr>
              <w:pStyle w:val="Normal"/>
              <w:rPr/>
            </w:pPr>
            <w:r>
              <w:rPr>
                <w:b/>
              </w:rPr>
              <w:t>France:</w:t>
            </w:r>
            <w:r>
              <w:rPr/>
              <w:t xml:space="preserve"> Housing Indicators (Dec)</w:t>
            </w:r>
          </w:p>
          <w:p>
            <w:pPr>
              <w:pStyle w:val="Normal"/>
              <w:rPr/>
            </w:pPr>
            <w:r>
              <w:rPr/>
              <w:t>INSEE Business Survey (Jan)</w:t>
            </w:r>
          </w:p>
          <w:p>
            <w:pPr>
              <w:pStyle w:val="Normal"/>
              <w:rPr/>
            </w:pPr>
            <w:r>
              <w:rPr>
                <w:b/>
              </w:rPr>
              <w:t>Italy:</w:t>
            </w:r>
            <w:r>
              <w:rPr/>
              <w:t xml:space="preserve"> Contractual Wages (Dec)</w:t>
            </w:r>
          </w:p>
        </w:tc>
        <w:tc>
          <w:tcPr>
            <w:tcW w:w="2520" w:type="dxa"/>
            <w:tcBorders>
              <w:top w:val="single" w:sz="4" w:space="0" w:color="000000"/>
              <w:start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pPr>
            <w:r>
              <w:rPr>
                <w:rFonts w:cs="Garamond" w:ascii="Garamond" w:hAnsi="Garamond"/>
                <w:b/>
              </w:rPr>
              <w:t xml:space="preserve">Euroland: </w:t>
            </w:r>
            <w:r>
              <w:rPr>
                <w:rFonts w:cs="Garamond" w:ascii="Garamond" w:hAnsi="Garamond"/>
                <w:color w:val="000080"/>
              </w:rPr>
              <w:t>Unemployment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b/>
              </w:rPr>
              <w:t xml:space="preserve">France: </w:t>
            </w:r>
            <w:r>
              <w:rPr>
                <w:rFonts w:cs="Garamond" w:ascii="Garamond" w:hAnsi="Garamond"/>
                <w:color w:val="000080"/>
              </w:rPr>
              <w:t>Unemployment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PPI (Dec)</w:t>
            </w:r>
          </w:p>
          <w:p>
            <w:pPr>
              <w:pStyle w:val="MacroText"/>
              <w:tabs>
                <w:tab w:val="clear" w:pos="480"/>
                <w:tab w:val="clear" w:pos="960"/>
                <w:tab w:val="clear" w:pos="1440"/>
                <w:tab w:val="clear" w:pos="1920"/>
                <w:tab w:val="clear" w:pos="2400"/>
                <w:tab w:val="clear" w:pos="2880"/>
                <w:tab w:val="clear" w:pos="3360"/>
                <w:tab w:val="clear" w:pos="3840"/>
                <w:tab w:val="clear" w:pos="4320"/>
              </w:tabs>
              <w:rPr/>
            </w:pPr>
            <w:r>
              <w:rPr>
                <w:rFonts w:cs="Garamond" w:ascii="Garamond" w:hAnsi="Garamond"/>
              </w:rPr>
              <w:t>Monthly Budget (Dec</w:t>
            </w:r>
            <w:r>
              <w:rPr>
                <w:rFonts w:cs="Garamond" w:ascii="Garamond" w:hAnsi="Garamond"/>
                <w:b/>
              </w:rPr>
              <w:t>)</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b/>
              </w:rPr>
            </w:pPr>
            <w:r>
              <w:rPr>
                <w:rFonts w:cs="Garamond" w:ascii="Garamond" w:hAnsi="Garamond"/>
                <w:b/>
              </w:rPr>
              <w:t xml:space="preserve">Italy: </w:t>
            </w:r>
            <w:r>
              <w:rPr>
                <w:rFonts w:cs="Garamond" w:ascii="Garamond" w:hAnsi="Garamond"/>
                <w:color w:val="000080"/>
              </w:rPr>
              <w:t>PPI (Dec)</w:t>
            </w:r>
          </w:p>
        </w:tc>
        <w:tc>
          <w:tcPr>
            <w:tcW w:w="1620" w:type="dxa"/>
            <w:gridSpan w:val="2"/>
            <w:tcBorders>
              <w:top w:val="single" w:sz="4" w:space="0" w:color="000000"/>
              <w:start w:val="single" w:sz="4" w:space="0" w:color="000000"/>
              <w:end w:val="single" w:sz="4" w:space="0" w:color="000000"/>
            </w:tcBorders>
          </w:tcPr>
          <w:p>
            <w:pPr>
              <w:pStyle w:val="Normal"/>
              <w:rPr/>
            </w:pPr>
            <w:r>
              <w:rPr>
                <w:b/>
              </w:rPr>
              <w:t>Euroland:</w:t>
            </w:r>
            <w:r>
              <w:rPr/>
              <w:t xml:space="preserve"> </w:t>
            </w:r>
            <w:r>
              <w:rPr>
                <w:color w:val="000080"/>
              </w:rPr>
              <w:t>GDP (Q3)</w:t>
            </w:r>
          </w:p>
          <w:p>
            <w:pPr>
              <w:pStyle w:val="Normal"/>
              <w:rPr>
                <w:color w:val="000080"/>
              </w:rPr>
            </w:pPr>
            <w:r>
              <w:rPr>
                <w:color w:val="000080"/>
              </w:rPr>
              <w:t>PMI (Jan)</w:t>
            </w:r>
          </w:p>
          <w:p>
            <w:pPr>
              <w:pStyle w:val="Normal"/>
              <w:rPr/>
            </w:pPr>
            <w:r>
              <w:rPr>
                <w:b/>
              </w:rPr>
              <w:t>Germany:</w:t>
            </w:r>
            <w:r>
              <w:rPr/>
              <w:t xml:space="preserve"> </w:t>
            </w:r>
            <w:r>
              <w:rPr>
                <w:color w:val="000080"/>
              </w:rPr>
              <w:t>PMI (Jan)</w:t>
            </w:r>
          </w:p>
          <w:p>
            <w:pPr>
              <w:pStyle w:val="Normal"/>
              <w:rPr/>
            </w:pPr>
            <w:r>
              <w:rPr>
                <w:b/>
              </w:rPr>
              <w:t>Italy:</w:t>
            </w:r>
            <w:r>
              <w:rPr/>
              <w:t xml:space="preserve"> </w:t>
            </w:r>
            <w:r>
              <w:rPr>
                <w:color w:val="000080"/>
              </w:rPr>
              <w:t>PMI (Jan)</w:t>
            </w:r>
          </w:p>
          <w:p>
            <w:pPr>
              <w:pStyle w:val="Normal"/>
              <w:rPr>
                <w:color w:val="000080"/>
              </w:rPr>
            </w:pPr>
            <w:r>
              <w:rPr>
                <w:color w:val="000080"/>
              </w:rPr>
              <w:t>ISAE Business Confidence Survey (Dec)</w:t>
            </w:r>
          </w:p>
          <w:p>
            <w:pPr>
              <w:pStyle w:val="Normal"/>
              <w:rPr/>
            </w:pPr>
            <w:r>
              <w:rPr>
                <w:b/>
              </w:rPr>
              <w:t>France:</w:t>
            </w:r>
            <w:r>
              <w:rPr/>
              <w:t xml:space="preserve"> </w:t>
            </w:r>
            <w:r>
              <w:rPr>
                <w:color w:val="000080"/>
              </w:rPr>
              <w:t>PMI (Jan)</w:t>
            </w:r>
          </w:p>
          <w:p>
            <w:pPr>
              <w:pStyle w:val="Normal"/>
              <w:rPr>
                <w:color w:val="000080"/>
              </w:rPr>
            </w:pPr>
            <w:r>
              <w:rPr>
                <w:color w:val="000080"/>
              </w:rPr>
            </w:r>
          </w:p>
          <w:p>
            <w:pPr>
              <w:pStyle w:val="Normal"/>
              <w:jc w:val="center"/>
              <w:rPr>
                <w:color w:val="FF0000"/>
              </w:rPr>
            </w:pPr>
            <w:r>
              <w:rPr>
                <w:color w:val="FF0000"/>
              </w:rPr>
              <w:t>ECB Meeting and Press Conference</w:t>
            </w:r>
          </w:p>
        </w:tc>
        <w:tc>
          <w:tcPr>
            <w:tcW w:w="1170" w:type="dxa"/>
            <w:gridSpan w:val="2"/>
            <w:tcBorders>
              <w:top w:val="single" w:sz="4" w:space="0" w:color="000000"/>
              <w:start w:val="single" w:sz="4" w:space="0" w:color="000000"/>
              <w:end w:val="single" w:sz="4" w:space="0" w:color="000000"/>
            </w:tcBorders>
          </w:tcPr>
          <w:p>
            <w:pPr>
              <w:pStyle w:val="Normal"/>
              <w:rPr/>
            </w:pPr>
            <w:r>
              <w:rPr>
                <w:b/>
              </w:rPr>
              <w:t>Euroland</w:t>
            </w:r>
            <w:r>
              <w:rPr/>
              <w:t xml:space="preserve">: </w:t>
            </w:r>
            <w:r>
              <w:rPr>
                <w:color w:val="000080"/>
              </w:rPr>
              <w:t>Business Confidence (Jan)</w:t>
            </w:r>
          </w:p>
          <w:p>
            <w:pPr>
              <w:pStyle w:val="Normal"/>
              <w:rPr>
                <w:b/>
              </w:rPr>
            </w:pPr>
            <w:r>
              <w:rPr>
                <w:b/>
              </w:rPr>
              <w:t xml:space="preserve">Italy: </w:t>
            </w:r>
            <w:r>
              <w:rPr>
                <w:color w:val="000080"/>
              </w:rPr>
              <w:t>CPI (Jan)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U.K.</w:t>
            </w:r>
          </w:p>
          <w:p>
            <w:pPr>
              <w:pStyle w:val="Normal"/>
              <w:rPr>
                <w:b/>
                <w:sz w:val="22"/>
              </w:rPr>
            </w:pPr>
            <w:r>
              <w:rPr>
                <w:b/>
                <w:sz w:val="22"/>
              </w:rPr>
            </w:r>
          </w:p>
          <w:p>
            <w:pPr>
              <w:pStyle w:val="Normal"/>
              <w:rPr>
                <w:b/>
                <w:sz w:val="22"/>
              </w:rPr>
            </w:pPr>
            <w:r>
              <w:rPr>
                <w:b/>
                <w:sz w:val="22"/>
              </w:rPr>
            </w:r>
          </w:p>
        </w:tc>
        <w:tc>
          <w:tcPr>
            <w:tcW w:w="189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b/>
                <w:color w:val="000080"/>
                <w:sz w:val="22"/>
              </w:rPr>
            </w:pPr>
            <w:r>
              <w:rPr>
                <w:rFonts w:cs="Garamond" w:ascii="Garamond" w:hAnsi="Garamond"/>
                <w:b/>
                <w:color w:val="000080"/>
                <w:sz w:val="22"/>
              </w:rPr>
            </w:r>
          </w:p>
        </w:tc>
        <w:tc>
          <w:tcPr>
            <w:tcW w:w="180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Personal Borrowing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Consumer Credit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Mortgage Borrowing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GFK Consumer Confidence (Jan)</w:t>
            </w:r>
          </w:p>
        </w:tc>
        <w:tc>
          <w:tcPr>
            <w:tcW w:w="2520" w:type="dxa"/>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Nationwide House Prices (Jan)</w:t>
            </w:r>
          </w:p>
          <w:p>
            <w:pPr>
              <w:pStyle w:val="Normal"/>
              <w:rPr>
                <w:color w:val="000080"/>
              </w:rPr>
            </w:pPr>
            <w:r>
              <w:rPr>
                <w:color w:val="000080"/>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PMI-Manufacturing (Jan)</w:t>
            </w:r>
          </w:p>
          <w:p>
            <w:pPr>
              <w:pStyle w:val="Normal"/>
              <w:rPr>
                <w:color w:val="000080"/>
              </w:rPr>
            </w:pPr>
            <w:r>
              <w:rPr>
                <w:color w:val="000080"/>
              </w:rPr>
              <w:t>CBI Distributive Trades Survey (Jan)</w:t>
            </w:r>
          </w:p>
          <w:p>
            <w:pPr>
              <w:pStyle w:val="Normal"/>
              <w:rPr>
                <w:color w:val="000080"/>
              </w:rPr>
            </w:pPr>
            <w:r>
              <w:rPr>
                <w:color w:val="000080"/>
              </w:rPr>
            </w:r>
          </w:p>
        </w:tc>
        <w:tc>
          <w:tcPr>
            <w:tcW w:w="117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PMI-Construct (Jan)</w:t>
            </w:r>
          </w:p>
        </w:tc>
      </w:tr>
      <w:tr>
        <w:trPr/>
        <w:tc>
          <w:tcPr>
            <w:tcW w:w="10890" w:type="dxa"/>
            <w:gridSpan w:val="8"/>
            <w:tcBorders>
              <w:start w:val="single" w:sz="4" w:space="0" w:color="000000"/>
              <w:bottom w:val="single" w:sz="4" w:space="0" w:color="000000"/>
              <w:end w:val="single" w:sz="4" w:space="0" w:color="000000"/>
            </w:tcBorders>
            <w:shd w:fill="F2F2F2" w:val="clear"/>
          </w:tcPr>
          <w:p>
            <w:pPr>
              <w:pStyle w:val="Normal"/>
              <w:snapToGrid w:val="false"/>
              <w:rPr>
                <w:rFonts w:ascii="Garamond" w:hAnsi="Garamond" w:cs="Garamond"/>
                <w:i/>
                <w:i/>
                <w:color w:val="000080"/>
                <w:sz w:val="22"/>
              </w:rPr>
            </w:pPr>
            <w:r>
              <w:rPr>
                <w:rFonts w:cs="Garamond"/>
                <w:i/>
                <w:color w:val="000080"/>
                <w:sz w:val="22"/>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p>
            <w:pPr>
              <w:pStyle w:val="Normal"/>
              <w:rPr>
                <w:b/>
                <w:sz w:val="22"/>
              </w:rPr>
            </w:pPr>
            <w:r>
              <w:rPr>
                <w:b/>
                <w:sz w:val="22"/>
              </w:rPr>
            </w:r>
          </w:p>
          <w:p>
            <w:pPr>
              <w:pStyle w:val="Normal"/>
              <w:rPr>
                <w:b/>
                <w:sz w:val="22"/>
              </w:rPr>
            </w:pPr>
            <w:r>
              <w:rPr>
                <w:b/>
                <w:sz w:val="22"/>
              </w:rPr>
            </w:r>
          </w:p>
        </w:tc>
        <w:tc>
          <w:tcPr>
            <w:tcW w:w="189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00"/>
              </w:rPr>
            </w:pPr>
            <w:r>
              <w:rPr>
                <w:rFonts w:cs="Garamond" w:ascii="Garamond" w:hAnsi="Garamond"/>
                <w:color w:val="000000"/>
              </w:rPr>
              <w:t>Industrial Production (Dec)</w:t>
            </w:r>
          </w:p>
        </w:tc>
        <w:tc>
          <w:tcPr>
            <w:tcW w:w="180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Household Survey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Unemployment Rate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Construction Orders Total (Dec)</w:t>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00"/>
              </w:rPr>
            </w:pPr>
            <w:r>
              <w:rPr>
                <w:rFonts w:cs="Garamond" w:ascii="Garamond" w:hAnsi="Garamond"/>
                <w:color w:val="000000"/>
              </w:rPr>
              <w:t>Average Lending Rate (Dec)</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00"/>
              </w:rPr>
              <w:t>Vehicle Sales (Jan)</w:t>
            </w:r>
          </w:p>
        </w:tc>
        <w:tc>
          <w:tcPr>
            <w:tcW w:w="1710" w:type="dxa"/>
            <w:gridSpan w:val="3"/>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rPr>
            </w:pPr>
            <w:r>
              <w:rPr>
                <w:rFonts w:cs="Garamond"/>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tc>
        <w:tc>
          <w:tcPr>
            <w:tcW w:w="189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b/>
                <w:color w:val="000080"/>
                <w:sz w:val="22"/>
              </w:rPr>
            </w:pPr>
            <w:r>
              <w:rPr>
                <w:rFonts w:cs="Garamond" w:ascii="Garamond" w:hAnsi="Garamond"/>
                <w:b/>
                <w:color w:val="000080"/>
                <w:sz w:val="22"/>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color w:val="000080"/>
              </w:rPr>
            </w:pPr>
            <w:r>
              <w:rPr>
                <w:rFonts w:cs="Garamond"/>
                <w:color w:val="000080"/>
              </w:rPr>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Trade balance (Dec)</w:t>
            </w:r>
          </w:p>
        </w:tc>
        <w:tc>
          <w:tcPr>
            <w:tcW w:w="1710" w:type="dxa"/>
            <w:gridSpan w:val="3"/>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108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NZ</w:t>
            </w:r>
          </w:p>
        </w:tc>
        <w:tc>
          <w:tcPr>
            <w:tcW w:w="189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000080"/>
              </w:rPr>
            </w:pPr>
            <w:r>
              <w:rPr>
                <w:rFonts w:cs="Garamond" w:ascii="Garamond" w:hAnsi="Garamond"/>
                <w:color w:val="000080"/>
              </w:rPr>
              <w:t>Trade Balance (Dec)</w:t>
            </w:r>
          </w:p>
        </w:tc>
        <w:tc>
          <w:tcPr>
            <w:tcW w:w="180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252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1710" w:type="dxa"/>
            <w:gridSpan w:val="3"/>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rPr>
            </w:pPr>
            <w:r>
              <w:rPr>
                <w:rFonts w:cs="Garamond"/>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Singapore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b/>
                <w:color w:val="000080"/>
                <w:sz w:val="22"/>
              </w:rPr>
            </w:pPr>
            <w:r>
              <w:rPr>
                <w:b/>
                <w:color w:val="000080"/>
                <w:sz w:val="22"/>
              </w:rPr>
            </w:r>
          </w:p>
        </w:tc>
        <w:tc>
          <w:tcPr>
            <w:tcW w:w="1800" w:type="dxa"/>
            <w:tcBorders>
              <w:top w:val="single" w:sz="4" w:space="0" w:color="000000"/>
              <w:start w:val="single" w:sz="4" w:space="0" w:color="000000"/>
              <w:bottom w:val="single" w:sz="4" w:space="0" w:color="000000"/>
              <w:end w:val="single" w:sz="4" w:space="0" w:color="000000"/>
            </w:tcBorders>
          </w:tcPr>
          <w:p>
            <w:pPr>
              <w:pStyle w:val="Normal"/>
              <w:rPr>
                <w:color w:val="000080"/>
              </w:rPr>
            </w:pPr>
            <w:r>
              <w:rPr>
                <w:color w:val="000080"/>
              </w:rPr>
              <w:t>Money Sup. (Dec)</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80"/>
              </w:rPr>
            </w:pPr>
            <w:r>
              <w:rPr>
                <w:color w:val="000080"/>
              </w:rPr>
            </w:r>
          </w:p>
        </w:tc>
        <w:tc>
          <w:tcPr>
            <w:tcW w:w="1710" w:type="dxa"/>
            <w:gridSpan w:val="3"/>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c>
          <w:tcPr>
            <w:tcW w:w="108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color w:val="000080"/>
              </w:rPr>
            </w:pPr>
            <w:r>
              <w:rPr>
                <w:rFonts w:cs="Garamond" w:ascii="Garamond" w:hAnsi="Garamond"/>
                <w:color w:val="000080"/>
              </w:rPr>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pPr>
      <w:r>
        <w:rPr/>
      </w:r>
    </w:p>
    <w:sectPr>
      <w:headerReference w:type="default" r:id="rId4"/>
      <w:headerReference w:type="first" r:id="rId5"/>
      <w:footerReference w:type="default" r:id="rId6"/>
      <w:footerReference w:type="first" r:id="rId7"/>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Enron - For Internal Use Only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Enron – For Internal Use Only </w:t>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pPr>
    <w:r>
      <w:rPr>
        <w:rStyle w:val="PageNumber"/>
        <w:rFonts w:eastAsia="Garamond"/>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40"/>
        <w:tab w:val="left" w:pos="270" w:leader="none"/>
        <w:tab w:val="left" w:pos="5760" w:leader="none"/>
      </w:tabs>
      <w:rPr>
        <w:b/>
        <w:sz w:val="24"/>
      </w:rPr>
    </w:pPr>
    <w:r>
      <w:rPr>
        <w:b/>
        <w:sz w:val="24"/>
      </w:rPr>
      <w:t>GLOBAL MARKETS Monitor (26 January 2001)</w:t>
    </w:r>
  </w:p>
  <w:p>
    <w:pPr>
      <w:pStyle w:val="Header"/>
      <w:tabs>
        <w:tab w:val="clear" w:pos="240"/>
        <w:tab w:val="left" w:pos="270" w:leader="none"/>
        <w:tab w:val="left" w:pos="5760" w:leader="none"/>
      </w:tabs>
      <w:rPr>
        <w:b/>
        <w:sz w:val="24"/>
      </w:rPr>
    </w:pPr>
    <w:r>
      <w:rPr>
        <w:b/>
        <w:sz w:val="24"/>
      </w:rPr>
      <w:t xml:space="preserve">ENA Research Group, </w:t>
    </w:r>
    <w:r>
      <w:rPr>
        <w:b/>
        <w:sz w:val="20"/>
      </w:rPr>
      <w:t>country risk and Foreign exchange</w:t>
    </w:r>
  </w:p>
  <w:p>
    <w:pPr>
      <w:pStyle w:val="Header"/>
      <w:tabs>
        <w:tab w:val="clear" w:pos="240"/>
        <w:tab w:val="left" w:pos="270" w:leader="none"/>
        <w:tab w:val="left" w:pos="5760" w:leader="none"/>
      </w:tabs>
      <w:rPr>
        <w:b/>
        <w:sz w:val="24"/>
      </w:rPr>
    </w:pPr>
    <w:r>
      <w:rPr>
        <w:b/>
        <w:sz w:val="24"/>
      </w:rPr>
    </w:r>
  </w:p>
  <w:p>
    <w:pPr>
      <w:pStyle w:val="Header"/>
      <w:tabs>
        <w:tab w:val="clear" w:pos="240"/>
        <w:tab w:val="left" w:pos="270" w:leader="none"/>
        <w:tab w:val="left" w:pos="5760" w:leader="none"/>
      </w:tabs>
      <w:spacing w:before="0" w:after="60"/>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pacing w:val="-4"/>
      <w:sz w:val="20"/>
      <w:szCs w:val="20"/>
      <w:lang w:val="en-US" w:eastAsia="zh-CN" w:bidi="hi-IN"/>
    </w:rPr>
  </w:style>
  <w:style w:type="paragraph" w:styleId="Heading1">
    <w:name w:val="heading 1"/>
    <w:basedOn w:val="Normal"/>
    <w:next w:val="BodyText"/>
    <w:qFormat/>
    <w:pPr>
      <w:numPr>
        <w:ilvl w:val="0"/>
        <w:numId w:val="1"/>
      </w:numPr>
      <w:pBdr>
        <w:top w:val="single" w:sz="6" w:space="3" w:color="FFFFFF"/>
        <w:left w:val="single" w:sz="6" w:space="3" w:color="FFFFFF"/>
        <w:bottom w:val="single" w:sz="6" w:space="3" w:color="FFFFFF"/>
        <w:right w:val="single" w:sz="6" w:space="3" w:color="FFFFFF"/>
      </w:pBdr>
      <w:shd w:fill="E5E5E5" w:val="clear"/>
      <w:spacing w:before="0" w:after="160"/>
      <w:ind w:hanging="0" w:start="48" w:end="48"/>
      <w:outlineLvl w:val="0"/>
    </w:pPr>
    <w:rPr>
      <w:rFonts w:ascii="Arial Black" w:hAnsi="Arial Black" w:cs="Arial Black"/>
      <w:spacing w:val="-15"/>
      <w:sz w:val="22"/>
      <w:vertAlign w:val="superscript"/>
    </w:rPr>
  </w:style>
  <w:style w:type="paragraph" w:styleId="Heading2">
    <w:name w:val="heading 2"/>
    <w:basedOn w:val="Normal"/>
    <w:next w:val="BodyText"/>
    <w:qFormat/>
    <w:pPr>
      <w:numPr>
        <w:ilvl w:val="1"/>
        <w:numId w:val="1"/>
      </w:numPr>
      <w:spacing w:before="0" w:after="120"/>
      <w:outlineLvl w:val="1"/>
    </w:pPr>
    <w:rPr>
      <w:rFonts w:ascii="Arial Black" w:hAnsi="Arial Black" w:cs="Arial Black"/>
      <w:spacing w:val="-8"/>
      <w:sz w:val="18"/>
    </w:rPr>
  </w:style>
  <w:style w:type="paragraph" w:styleId="Heading3">
    <w:name w:val="heading 3"/>
    <w:basedOn w:val="Normal"/>
    <w:next w:val="BodyText"/>
    <w:qFormat/>
    <w:pPr>
      <w:numPr>
        <w:ilvl w:val="2"/>
        <w:numId w:val="1"/>
      </w:numPr>
      <w:spacing w:before="0" w:after="120"/>
      <w:outlineLvl w:val="2"/>
    </w:pPr>
    <w:rPr>
      <w:i/>
      <w:sz w:val="24"/>
    </w:rPr>
  </w:style>
  <w:style w:type="paragraph" w:styleId="Heading4">
    <w:name w:val="heading 4"/>
    <w:basedOn w:val="Normal"/>
    <w:next w:val="BodyText"/>
    <w:qFormat/>
    <w:pPr>
      <w:keepNext w:val="true"/>
      <w:numPr>
        <w:ilvl w:val="3"/>
        <w:numId w:val="1"/>
      </w:numPr>
      <w:spacing w:before="360" w:after="360"/>
      <w:ind w:hanging="0" w:start="24" w:end="-48"/>
      <w:outlineLvl w:val="3"/>
    </w:pPr>
    <w:rPr>
      <w:spacing w:val="-30"/>
      <w:sz w:val="52"/>
    </w:rPr>
  </w:style>
  <w:style w:type="paragraph" w:styleId="Heading5">
    <w:name w:val="heading 5"/>
    <w:basedOn w:val="Normal"/>
    <w:next w:val="BodyText"/>
    <w:qFormat/>
    <w:pPr>
      <w:keepNext w:val="true"/>
      <w:numPr>
        <w:ilvl w:val="4"/>
        <w:numId w:val="1"/>
      </w:numPr>
      <w:pBdr>
        <w:top w:val="single" w:sz="6" w:space="3" w:color="FFFFFF"/>
        <w:left w:val="single" w:sz="6" w:space="3" w:color="FFFFFF"/>
        <w:bottom w:val="single" w:sz="6" w:space="3" w:color="FFFFFF"/>
        <w:right w:val="single" w:sz="6" w:space="3" w:color="FFFFFF"/>
      </w:pBdr>
      <w:shd w:fill="B2B2B2" w:val="clear"/>
      <w:ind w:hanging="0" w:start="60" w:end="0"/>
      <w:outlineLvl w:val="4"/>
    </w:pPr>
    <w:rPr>
      <w:rFonts w:ascii="Arial Black" w:hAnsi="Arial Black" w:cs="Arial Black"/>
      <w:color w:val="FFFFFF"/>
      <w:spacing w:val="-15"/>
      <w:sz w:val="24"/>
      <w:vertAlign w:val="superscript"/>
    </w:rPr>
  </w:style>
  <w:style w:type="paragraph" w:styleId="Heading6">
    <w:name w:val="heading 6"/>
    <w:basedOn w:val="Normal"/>
    <w:next w:val="BodyText"/>
    <w:qFormat/>
    <w:pPr>
      <w:numPr>
        <w:ilvl w:val="5"/>
        <w:numId w:val="1"/>
      </w:numPr>
      <w:spacing w:before="0" w:after="120"/>
      <w:jc w:val="both"/>
      <w:outlineLvl w:val="5"/>
    </w:pPr>
    <w:rPr>
      <w:rFonts w:ascii="Arial Black" w:hAnsi="Arial Black" w:cs="Arial Black"/>
      <w:spacing w:val="-8"/>
      <w:sz w:val="18"/>
    </w:rPr>
  </w:style>
  <w:style w:type="paragraph" w:styleId="Heading7">
    <w:name w:val="heading 7"/>
    <w:basedOn w:val="Normal"/>
    <w:next w:val="BodyText"/>
    <w:qFormat/>
    <w:pPr>
      <w:numPr>
        <w:ilvl w:val="6"/>
        <w:numId w:val="1"/>
      </w:numPr>
      <w:spacing w:before="0" w:after="360"/>
      <w:jc w:val="both"/>
      <w:outlineLvl w:val="6"/>
    </w:pPr>
    <w:rPr>
      <w:sz w:val="22"/>
    </w:rPr>
  </w:style>
  <w:style w:type="paragraph" w:styleId="Heading8">
    <w:name w:val="heading 8"/>
    <w:basedOn w:val="Normal"/>
    <w:next w:val="Normal"/>
    <w:qFormat/>
    <w:pPr>
      <w:numPr>
        <w:ilvl w:val="7"/>
        <w:numId w:val="1"/>
      </w:numPr>
      <w:spacing w:before="2540" w:after="0"/>
      <w:outlineLvl w:val="7"/>
    </w:pPr>
    <w:rPr>
      <w:i/>
      <w:spacing w:val="-10"/>
      <w:sz w:val="44"/>
    </w:rPr>
  </w:style>
  <w:style w:type="paragraph" w:styleId="Heading9">
    <w:name w:val="heading 9"/>
    <w:basedOn w:val="Normal"/>
    <w:next w:val="Normal"/>
    <w:qFormat/>
    <w:pPr>
      <w:keepNext w:val="true"/>
      <w:numPr>
        <w:ilvl w:val="8"/>
        <w:numId w:val="1"/>
      </w:numPr>
      <w:outlineLvl w:val="8"/>
    </w:pPr>
    <w:rPr>
      <w:b/>
      <w:color w:val="FFFFFF"/>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sz w:val="16"/>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sz w:val="16"/>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sz w:val="16"/>
    </w:rPr>
  </w:style>
  <w:style w:type="character" w:styleId="WW8Num28z0">
    <w:name w:val="WW8Num28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30z0">
    <w:name w:val="WW8Num30z0"/>
    <w:qFormat/>
    <w:rPr>
      <w:rFonts w:ascii="Wingdings" w:hAnsi="Wingdings" w:cs="Wingdings"/>
      <w:sz w:val="16"/>
    </w:rPr>
  </w:style>
  <w:style w:type="character" w:styleId="WW8Num32z0">
    <w:name w:val="WW8Num32z0"/>
    <w:qFormat/>
    <w:rPr>
      <w:rFonts w:ascii="Wingdings" w:hAnsi="Wingdings" w:cs="Wingdings"/>
      <w:sz w:val="16"/>
    </w:rPr>
  </w:style>
  <w:style w:type="character" w:styleId="WW8Num33z0">
    <w:name w:val="WW8Num33z0"/>
    <w:qFormat/>
    <w:rPr>
      <w:rFonts w:ascii="Wingdings" w:hAnsi="Wingdings" w:cs="Wingdings"/>
      <w:sz w:val="16"/>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sz w:val="16"/>
    </w:rPr>
  </w:style>
  <w:style w:type="character" w:styleId="WW8Num38z0">
    <w:name w:val="WW8Num38z0"/>
    <w:qFormat/>
    <w:rPr>
      <w:rFonts w:ascii="Wingdings" w:hAnsi="Wingdings" w:cs="Wingdings"/>
      <w:sz w:val="16"/>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sz w:val="16"/>
    </w:rPr>
  </w:style>
  <w:style w:type="character" w:styleId="WW8Num41z0">
    <w:name w:val="WW8Num41z0"/>
    <w:qFormat/>
    <w:rPr>
      <w:rFonts w:ascii="Wingdings" w:hAnsi="Wingdings" w:cs="Wingdings"/>
      <w:sz w:val="16"/>
    </w:rPr>
  </w:style>
  <w:style w:type="character" w:styleId="WW8Num42z0">
    <w:name w:val="WW8Num42z0"/>
    <w:qFormat/>
    <w:rPr>
      <w:rFonts w:ascii="Wingdings" w:hAnsi="Wingdings" w:cs="Wingdings"/>
      <w:sz w:val="16"/>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sz w:val="16"/>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sz w:val="16"/>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Wingdings" w:hAnsi="Wingdings" w:cs="Wingdings"/>
      <w:sz w:val="16"/>
    </w:rPr>
  </w:style>
  <w:style w:type="character" w:styleId="WW8Num51z0">
    <w:name w:val="WW8Num51z0"/>
    <w:qFormat/>
    <w:rPr>
      <w:rFonts w:ascii="Wingdings" w:hAnsi="Wingdings" w:cs="Wingdings"/>
      <w:sz w:val="16"/>
    </w:rPr>
  </w:style>
  <w:style w:type="character" w:styleId="WW8Num52z0">
    <w:name w:val="WW8Num52z0"/>
    <w:qFormat/>
    <w:rPr>
      <w:rFonts w:ascii="Wingdings" w:hAnsi="Wingdings" w:cs="Wingdings"/>
      <w:sz w:val="16"/>
    </w:rPr>
  </w:style>
  <w:style w:type="character" w:styleId="WW8Num53z0">
    <w:name w:val="WW8Num53z0"/>
    <w:qFormat/>
    <w:rPr>
      <w:rFonts w:ascii="Wingdings" w:hAnsi="Wingdings" w:cs="Wingdings"/>
      <w:sz w:val="16"/>
    </w:rPr>
  </w:style>
  <w:style w:type="character" w:styleId="WW8Num54z0">
    <w:name w:val="WW8Num54z0"/>
    <w:qFormat/>
    <w:rPr>
      <w:rFonts w:ascii="Wingdings" w:hAnsi="Wingdings" w:cs="Wingdings"/>
      <w:sz w:val="16"/>
    </w:rPr>
  </w:style>
  <w:style w:type="character" w:styleId="WW8Num55z0">
    <w:name w:val="WW8Num55z0"/>
    <w:qFormat/>
    <w:rPr>
      <w:rFonts w:ascii="Wingdings" w:hAnsi="Wingdings" w:cs="Wingdings"/>
      <w:sz w:val="16"/>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sz w:val="16"/>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sz w:val="16"/>
    </w:rPr>
  </w:style>
  <w:style w:type="character" w:styleId="WW8Num60z0">
    <w:name w:val="WW8Num60z0"/>
    <w:qFormat/>
    <w:rPr>
      <w:rFonts w:ascii="Wingdings" w:hAnsi="Wingdings" w:cs="Wingdings"/>
      <w:sz w:val="16"/>
    </w:rPr>
  </w:style>
  <w:style w:type="character" w:styleId="WW8Num61z0">
    <w:name w:val="WW8Num61z0"/>
    <w:qFormat/>
    <w:rPr>
      <w:rFonts w:ascii="Wingdings" w:hAnsi="Wingdings" w:cs="Wingdings"/>
      <w:sz w:val="16"/>
    </w:rPr>
  </w:style>
  <w:style w:type="character" w:styleId="WW8Num62z0">
    <w:name w:val="WW8Num62z0"/>
    <w:qFormat/>
    <w:rPr>
      <w:rFonts w:ascii="Wingdings" w:hAnsi="Wingdings" w:cs="Wingdings"/>
      <w:sz w:val="16"/>
    </w:rPr>
  </w:style>
  <w:style w:type="character" w:styleId="WW8Num63z0">
    <w:name w:val="WW8Num63z0"/>
    <w:qFormat/>
    <w:rPr>
      <w:rFonts w:ascii="Wingdings" w:hAnsi="Wingdings" w:cs="Wingdings"/>
      <w:sz w:val="16"/>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sz w:val="16"/>
    </w:rPr>
  </w:style>
  <w:style w:type="character" w:styleId="WW8Num66z0">
    <w:name w:val="WW8Num66z0"/>
    <w:qFormat/>
    <w:rPr>
      <w:rFonts w:ascii="Wingdings" w:hAnsi="Wingdings" w:cs="Wingdings"/>
      <w:sz w:val="16"/>
    </w:rPr>
  </w:style>
  <w:style w:type="character" w:styleId="WW8Num67z0">
    <w:name w:val="WW8Num67z0"/>
    <w:qFormat/>
    <w:rPr>
      <w:rFonts w:ascii="Wingdings" w:hAnsi="Wingdings" w:cs="Wingdings"/>
      <w:sz w:val="16"/>
    </w:rPr>
  </w:style>
  <w:style w:type="character" w:styleId="WW8Num68z0">
    <w:name w:val="WW8Num68z0"/>
    <w:qFormat/>
    <w:rPr>
      <w:rFonts w:ascii="Wingdings" w:hAnsi="Wingdings" w:cs="Wingdings"/>
      <w:sz w:val="16"/>
    </w:rPr>
  </w:style>
  <w:style w:type="character" w:styleId="WW8Num69z0">
    <w:name w:val="WW8Num69z0"/>
    <w:qFormat/>
    <w:rPr>
      <w:rFonts w:ascii="Wingdings" w:hAnsi="Wingdings" w:cs="Wingdings"/>
      <w:sz w:val="16"/>
    </w:rPr>
  </w:style>
  <w:style w:type="character" w:styleId="WW8Num70z0">
    <w:name w:val="WW8Num70z0"/>
    <w:qFormat/>
    <w:rPr>
      <w:rFonts w:ascii="Wingdings" w:hAnsi="Wingdings" w:cs="Wingdings"/>
      <w:sz w:val="16"/>
    </w:rPr>
  </w:style>
  <w:style w:type="character" w:styleId="WW8Num71z0">
    <w:name w:val="WW8Num71z0"/>
    <w:qFormat/>
    <w:rPr>
      <w:rFonts w:ascii="Wingdings" w:hAnsi="Wingdings" w:cs="Wingdings"/>
      <w:sz w:val="16"/>
    </w:rPr>
  </w:style>
  <w:style w:type="character" w:styleId="WW8Num72z0">
    <w:name w:val="WW8Num72z0"/>
    <w:qFormat/>
    <w:rPr>
      <w:rFonts w:ascii="Wingdings" w:hAnsi="Wingdings" w:cs="Wingdings"/>
      <w:sz w:val="16"/>
    </w:rPr>
  </w:style>
  <w:style w:type="character" w:styleId="DefaultParagraphFont">
    <w:name w:val="Default Paragraph Font"/>
    <w:qFormat/>
    <w:rPr/>
  </w:style>
  <w:style w:type="character" w:styleId="PageNumber">
    <w:name w:val="page number"/>
    <w:rPr/>
  </w:style>
  <w:style w:type="character" w:styleId="Emphasis">
    <w:name w:val="Emphasis"/>
    <w:basedOn w:val="DefaultParagraphFont"/>
    <w:qFormat/>
    <w:rPr>
      <w:rFonts w:ascii="Arial Black" w:hAnsi="Arial Black" w:cs="Arial Black"/>
      <w:spacing w:val="-8"/>
      <w:sz w:val="18"/>
    </w:rPr>
  </w:style>
  <w:style w:type="character" w:styleId="Lead-inEmphasis">
    <w:name w:val="Lead-in Emphasis"/>
    <w:basedOn w:val="DefaultParagraphFont"/>
    <w:qFormat/>
    <w:rPr>
      <w:caps/>
      <w:spacing w:val="20"/>
      <w:sz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Subtitle"/>
    <w:qFormat/>
    <w:pPr>
      <w:pBdr>
        <w:top w:val="single" w:sz="48" w:space="24" w:color="C0C0C0"/>
      </w:pBdr>
      <w:spacing w:lineRule="exact" w:line="380" w:before="40" w:after="20"/>
    </w:pPr>
    <w:rPr>
      <w:rFonts w:ascii="Arial Black" w:hAnsi="Arial Black" w:cs="Arial Black"/>
      <w:spacing w:val="-25"/>
      <w:kern w:val="2"/>
      <w:sz w:val="36"/>
    </w:rPr>
  </w:style>
  <w:style w:type="paragraph" w:styleId="BodyText">
    <w:name w:val="Body Text"/>
    <w:basedOn w:val="Normal"/>
    <w:pPr>
      <w:ind w:firstLine="240" w:start="0" w:end="0"/>
      <w:jc w:val="both"/>
    </w:pPr>
    <w:rPr>
      <w:sz w:val="22"/>
    </w:rPr>
  </w:style>
  <w:style w:type="paragraph" w:styleId="List">
    <w:name w:val="List"/>
    <w:basedOn w:val="Normal"/>
    <w:pPr>
      <w:numPr>
        <w:ilvl w:val="0"/>
        <w:numId w:val="8"/>
      </w:numPr>
      <w:spacing w:before="0" w:after="120"/>
      <w:jc w:val="both"/>
    </w:pPr>
    <w:rPr>
      <w:sz w:val="22"/>
    </w:rPr>
  </w:style>
  <w:style w:type="paragraph" w:styleId="Caption">
    <w:name w:val="caption"/>
    <w:basedOn w:val="Normal"/>
    <w:next w:val="BodyText"/>
    <w:qFormat/>
    <w:pPr>
      <w:spacing w:lineRule="atLeast" w:line="200" w:before="0" w:after="120"/>
      <w:jc w:val="both"/>
    </w:pPr>
    <w:rPr>
      <w:rFonts w:ascii="Arial Black" w:hAnsi="Arial Black" w:cs="Arial Black"/>
      <w:sz w:val="1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pacing w:val="-4"/>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240" w:leader="none"/>
      </w:tabs>
      <w:spacing w:before="0" w:after="60"/>
    </w:pPr>
    <w:rPr>
      <w:caps/>
      <w:sz w:val="18"/>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60"/>
      <w:ind w:firstLine="240" w:start="0" w:end="0"/>
      <w:jc w:val="both"/>
    </w:pPr>
    <w:rPr>
      <w:sz w:val="22"/>
    </w:rPr>
  </w:style>
  <w:style w:type="paragraph" w:styleId="BodyTextKeep">
    <w:name w:val="Body Text Keep"/>
    <w:basedOn w:val="BodyText"/>
    <w:next w:val="BodyText"/>
    <w:qFormat/>
    <w:pPr>
      <w:spacing w:before="0" w:after="320"/>
    </w:pPr>
    <w:rPr/>
  </w:style>
  <w:style w:type="paragraph" w:styleId="ListBullet21">
    <w:name w:val="List Bullet 21"/>
    <w:basedOn w:val="Normal"/>
    <w:qFormat/>
    <w:pPr>
      <w:numPr>
        <w:ilvl w:val="0"/>
        <w:numId w:val="6"/>
      </w:numPr>
      <w:ind w:hanging="240" w:start="240" w:end="0"/>
    </w:pPr>
    <w:rPr>
      <w:rFonts w:ascii="Arial Black" w:hAnsi="Arial Black" w:cs="Arial Black"/>
      <w:spacing w:val="-10"/>
      <w:sz w:val="18"/>
    </w:rPr>
  </w:style>
  <w:style w:type="paragraph" w:styleId="ListBullet2">
    <w:name w:val="List Bullet 2"/>
    <w:basedOn w:val="Normal"/>
    <w:pPr>
      <w:numPr>
        <w:ilvl w:val="0"/>
        <w:numId w:val="7"/>
      </w:numPr>
      <w:spacing w:lineRule="atLeast" w:line="300"/>
    </w:pPr>
    <w:rPr>
      <w:rFonts w:ascii="Arial Black" w:hAnsi="Arial Black" w:cs="Arial Black"/>
      <w:spacing w:val="-10"/>
      <w:sz w:val="18"/>
    </w:rPr>
  </w:style>
  <w:style w:type="paragraph" w:styleId="DocumentLabel">
    <w:name w:val="Document Label"/>
    <w:basedOn w:val="Normal"/>
    <w:next w:val="BodyText"/>
    <w:qFormat/>
    <w:pPr>
      <w:pBdr>
        <w:top w:val="single" w:sz="6" w:space="6" w:color="000000"/>
        <w:bottom w:val="single" w:sz="6" w:space="6" w:color="000000"/>
      </w:pBdr>
      <w:spacing w:lineRule="exact" w:line="1500" w:before="120" w:after="0"/>
      <w:ind w:hanging="0" w:start="36" w:end="0"/>
    </w:pPr>
    <w:rPr>
      <w:rFonts w:ascii="Arial Black" w:hAnsi="Arial Black" w:cs="Arial Black"/>
      <w:color w:val="808080"/>
      <w:spacing w:val="-110"/>
      <w:sz w:val="144"/>
    </w:rPr>
  </w:style>
  <w:style w:type="paragraph" w:styleId="Picture2">
    <w:name w:val="Picture 2"/>
    <w:basedOn w:val="Normal"/>
    <w:next w:val="BodyText"/>
    <w:qFormat/>
    <w:pPr/>
    <w:rPr>
      <w:spacing w:val="-25"/>
      <w:sz w:val="48"/>
    </w:rPr>
  </w:style>
  <w:style w:type="paragraph" w:styleId="Subtitle">
    <w:name w:val="Subtitle"/>
    <w:basedOn w:val="Normal"/>
    <w:next w:val="BodyText"/>
    <w:qFormat/>
    <w:pPr>
      <w:spacing w:lineRule="atLeast" w:line="280" w:before="0" w:after="480"/>
    </w:pPr>
    <w:rPr>
      <w:i/>
      <w:spacing w:val="-5"/>
      <w:sz w:val="28"/>
    </w:rPr>
  </w:style>
  <w:style w:type="paragraph" w:styleId="Picture">
    <w:name w:val="Picture"/>
    <w:basedOn w:val="Normal"/>
    <w:next w:val="Caption"/>
    <w:qFormat/>
    <w:pPr>
      <w:spacing w:lineRule="atLeast" w:line="200" w:before="0" w:after="160"/>
      <w:jc w:val="both"/>
    </w:pPr>
    <w:rPr/>
  </w:style>
  <w:style w:type="paragraph" w:styleId="ListBullet">
    <w:name w:val="List Bullet"/>
    <w:basedOn w:val="Normal"/>
    <w:qFormat/>
    <w:pPr>
      <w:numPr>
        <w:ilvl w:val="0"/>
        <w:numId w:val="9"/>
      </w:numPr>
      <w:spacing w:before="0" w:after="120"/>
      <w:ind w:hanging="240" w:start="240" w:end="0"/>
      <w:jc w:val="both"/>
    </w:pPr>
    <w:rPr>
      <w:sz w:val="22"/>
    </w:rPr>
  </w:style>
  <w:style w:type="paragraph" w:styleId="ReturnAddress">
    <w:name w:val="Return Address"/>
    <w:basedOn w:val="Normal"/>
    <w:qFormat/>
    <w:pPr/>
    <w:rPr>
      <w:sz w:val="22"/>
    </w:rPr>
  </w:style>
  <w:style w:type="paragraph" w:styleId="BodyText2">
    <w:name w:val="Body Text 2"/>
    <w:basedOn w:val="Normal"/>
    <w:qFormat/>
    <w:pPr/>
    <w:rPr>
      <w:color w:val="FF0000"/>
    </w:rPr>
  </w:style>
  <w:style w:type="paragraph" w:styleId="BodyTextIndent2">
    <w:name w:val="Body Text Indent 2"/>
    <w:basedOn w:val="Normal"/>
    <w:qFormat/>
    <w:pPr>
      <w:ind w:hanging="0" w:start="72" w:end="0"/>
    </w:pPr>
    <w:rPr/>
  </w:style>
  <w:style w:type="paragraph" w:styleId="BodyTextIndent3">
    <w:name w:val="Body Text Indent 3"/>
    <w:basedOn w:val="Normal"/>
    <w:qFormat/>
    <w:pPr>
      <w:ind w:hanging="0" w:start="72" w:end="0"/>
    </w:pPr>
    <w:rPr>
      <w:color w:val="000080"/>
    </w:rPr>
  </w:style>
  <w:style w:type="paragraph" w:styleId="FootnoteText">
    <w:name w:val="footnote text"/>
    <w:basedOn w:val="Normal"/>
    <w:pPr/>
    <w:rPr>
      <w:rFonts w:ascii="Times New Roman" w:hAnsi="Times New Roman" w:cs="Times New Roman"/>
      <w:spacing w:val="0"/>
    </w:rPr>
  </w:style>
  <w:style w:type="paragraph" w:styleId="BodyText3">
    <w:name w:val="Body Text 3"/>
    <w:basedOn w:val="Normal"/>
    <w:qFormat/>
    <w:pPr/>
    <w:rPr>
      <w:color w:val="00000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2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2001-01-29T03:21:00Z</dcterms:created>
  <dc:creator>gkoepke</dc:creator>
  <dc:description/>
  <dc:language>en-CA</dc:language>
  <cp:lastModifiedBy>mraymon</cp:lastModifiedBy>
  <cp:lastPrinted>2001-01-26T16:33:00Z</cp:lastPrinted>
  <dcterms:modified xsi:type="dcterms:W3CDTF">2001-01-29T04:42:00Z</dcterms:modified>
  <cp:revision>6</cp:revision>
  <dc:subject/>
  <dc:title/>
</cp:coreProperties>
</file>