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60" w:leader="none"/>
        </w:tabs>
        <w:rPr>
          <w:b/>
          <w:sz w:val="28"/>
        </w:rPr>
      </w:pPr>
      <w:r>
        <w:rPr>
          <w:b/>
          <w:sz w:val="28"/>
        </w:rPr>
        <w:t>GAZ METROPOLITAIN</w:t>
      </w:r>
    </w:p>
    <w:p>
      <w:pPr>
        <w:pStyle w:val="Normal"/>
        <w:tabs>
          <w:tab w:val="clear" w:pos="720"/>
          <w:tab w:val="left" w:pos="360" w:leader="none"/>
        </w:tabs>
        <w:rPr>
          <w:b/>
          <w:sz w:val="24"/>
        </w:rPr>
      </w:pPr>
      <w:r>
        <w:rPr>
          <w:b/>
          <w:sz w:val="24"/>
        </w:rPr>
      </w:r>
    </w:p>
    <w:p>
      <w:pPr>
        <w:pStyle w:val="Heading1"/>
        <w:tabs>
          <w:tab w:val="left" w:pos="360" w:leader="none"/>
          <w:tab w:val="left" w:pos="1260" w:leader="none"/>
          <w:tab w:val="left" w:pos="1800" w:leader="none"/>
        </w:tabs>
        <w:ind w:hanging="0" w:start="0"/>
        <w:rPr>
          <w:sz w:val="24"/>
        </w:rPr>
      </w:pPr>
      <w:r>
        <w:rPr>
          <w:sz w:val="24"/>
        </w:rPr>
      </w:r>
    </w:p>
    <w:p>
      <w:pPr>
        <w:pStyle w:val="Normal"/>
        <w:rPr/>
      </w:pPr>
      <w:r>
        <w:rPr/>
        <w:t>Gaz Metropolitain provides energy services to 348 municipalities and close to 160,000 customers in the province of Quebec.  Gaz Metropolitain and Company, Limited Partnership also owns Northern New England Gas Corporation, which in turn owns Vermont Gas Systems, Inc., a gas distributor serving 31,000 customers.  The partnership holds a 50% ownership interest in TransQuebec &amp; Maritimes Pipeline, which operates a pipeline in Quebec supplying over half the natural gas distributed by the partnership.  The partnership also owns a 19% equity interest in Portland Natural Gas Transmission System.  The Partnership is 77.4% owned by Gaz Metropolitain, Inc., which is turn 100% owned by Noverco, Inc., whose shareholders are Hydro-Quebec (41%), Enbridge, Inc. (32%), and Gaz de France (18%).</w:t>
      </w:r>
    </w:p>
    <w:p>
      <w:pPr>
        <w:pStyle w:val="Normal"/>
        <w:rPr/>
      </w:pPr>
      <w:r>
        <w:rPr/>
      </w:r>
    </w:p>
    <w:p>
      <w:pPr>
        <w:pStyle w:val="Normal"/>
        <w:tabs>
          <w:tab w:val="left" w:pos="360" w:leader="none"/>
          <w:tab w:val="left" w:pos="720" w:leader="none"/>
          <w:tab w:val="left" w:pos="1260" w:leader="none"/>
          <w:tab w:val="left" w:pos="1800" w:leader="none"/>
        </w:tabs>
        <w:rPr/>
      </w:pPr>
      <w:r>
        <w:rPr/>
        <w:t>Largest Cities:</w:t>
      </w:r>
    </w:p>
    <w:p>
      <w:pPr>
        <w:pStyle w:val="Normal"/>
        <w:tabs>
          <w:tab w:val="left" w:pos="360" w:leader="none"/>
          <w:tab w:val="left" w:pos="720" w:leader="none"/>
          <w:tab w:val="left" w:pos="1260" w:leader="none"/>
          <w:tab w:val="left" w:pos="1800" w:leader="none"/>
        </w:tabs>
        <w:rPr/>
      </w:pPr>
      <w:r>
        <w:rPr/>
        <w:tab/>
        <w:t>Laval – 330,393</w:t>
      </w:r>
    </w:p>
    <w:p>
      <w:pPr>
        <w:pStyle w:val="Normal"/>
        <w:tabs>
          <w:tab w:val="left" w:pos="360" w:leader="none"/>
          <w:tab w:val="left" w:pos="720" w:leader="none"/>
          <w:tab w:val="left" w:pos="1260" w:leader="none"/>
          <w:tab w:val="left" w:pos="1800" w:leader="none"/>
        </w:tabs>
        <w:rPr/>
      </w:pPr>
      <w:r>
        <w:rPr/>
        <w:tab/>
        <w:t>Longueuil – 127,977</w:t>
      </w:r>
    </w:p>
    <w:p>
      <w:pPr>
        <w:pStyle w:val="Normal"/>
        <w:tabs>
          <w:tab w:val="left" w:pos="360" w:leader="none"/>
          <w:tab w:val="left" w:pos="720" w:leader="none"/>
          <w:tab w:val="left" w:pos="1260" w:leader="none"/>
          <w:tab w:val="left" w:pos="1800" w:leader="none"/>
        </w:tabs>
        <w:rPr/>
      </w:pPr>
      <w:r>
        <w:rPr/>
        <w:tab/>
        <w:t>Montreal – 1,016,376</w:t>
      </w:r>
    </w:p>
    <w:p>
      <w:pPr>
        <w:pStyle w:val="Normal"/>
        <w:tabs>
          <w:tab w:val="left" w:pos="360" w:leader="none"/>
          <w:tab w:val="left" w:pos="720" w:leader="none"/>
          <w:tab w:val="left" w:pos="1260" w:leader="none"/>
          <w:tab w:val="left" w:pos="1800" w:leader="none"/>
        </w:tabs>
        <w:rPr/>
      </w:pPr>
      <w:r>
        <w:rPr/>
        <w:tab/>
        <w:t>Quebec – 167,264</w:t>
      </w:r>
    </w:p>
    <w:p>
      <w:pPr>
        <w:pStyle w:val="Normal"/>
        <w:tabs>
          <w:tab w:val="left" w:pos="360" w:leader="none"/>
          <w:tab w:val="left" w:pos="720" w:leader="none"/>
          <w:tab w:val="left" w:pos="1260" w:leader="none"/>
          <w:tab w:val="left" w:pos="1800" w:leader="none"/>
        </w:tabs>
        <w:rPr/>
      </w:pPr>
      <w:r>
        <w:rPr/>
        <w:tab/>
      </w:r>
    </w:p>
    <w:p>
      <w:pPr>
        <w:pStyle w:val="Normal"/>
        <w:tabs>
          <w:tab w:val="left" w:pos="360" w:leader="none"/>
          <w:tab w:val="left" w:pos="720" w:leader="none"/>
          <w:tab w:val="left" w:pos="1260" w:leader="none"/>
          <w:tab w:val="left" w:pos="1800" w:leader="none"/>
        </w:tabs>
        <w:rPr/>
      </w:pPr>
      <w:r>
        <w:rPr/>
        <w:t>Customers:</w:t>
      </w:r>
    </w:p>
    <w:p>
      <w:pPr>
        <w:pStyle w:val="Normal"/>
        <w:tabs>
          <w:tab w:val="left" w:pos="360" w:leader="none"/>
          <w:tab w:val="left" w:pos="720" w:leader="none"/>
          <w:tab w:val="left" w:pos="1260" w:leader="none"/>
          <w:tab w:val="left" w:pos="1800" w:leader="none"/>
        </w:tabs>
        <w:rPr/>
      </w:pPr>
      <w:r>
        <w:rPr/>
        <w:tab/>
        <w:t>Residential – 116,500</w:t>
      </w:r>
    </w:p>
    <w:p>
      <w:pPr>
        <w:pStyle w:val="Normal"/>
        <w:tabs>
          <w:tab w:val="left" w:pos="360" w:leader="none"/>
          <w:tab w:val="left" w:pos="720" w:leader="none"/>
          <w:tab w:val="left" w:pos="1260" w:leader="none"/>
          <w:tab w:val="left" w:pos="1800" w:leader="none"/>
        </w:tabs>
        <w:rPr/>
      </w:pPr>
      <w:r>
        <w:rPr/>
        <w:tab/>
        <w:t>Commercial – 41,415</w:t>
      </w:r>
    </w:p>
    <w:p>
      <w:pPr>
        <w:pStyle w:val="Normal"/>
        <w:tabs>
          <w:tab w:val="left" w:pos="360" w:leader="none"/>
          <w:tab w:val="left" w:pos="720" w:leader="none"/>
          <w:tab w:val="left" w:pos="1260" w:leader="none"/>
          <w:tab w:val="left" w:pos="1800" w:leader="none"/>
        </w:tabs>
        <w:rPr/>
      </w:pPr>
      <w:r>
        <w:rPr/>
        <w:tab/>
        <w:t>Industrial – 2,085</w:t>
      </w:r>
    </w:p>
    <w:p>
      <w:pPr>
        <w:pStyle w:val="Normal"/>
        <w:tabs>
          <w:tab w:val="left" w:pos="360" w:leader="none"/>
          <w:tab w:val="left" w:pos="720" w:leader="none"/>
          <w:tab w:val="left" w:pos="1260" w:leader="none"/>
          <w:tab w:val="left" w:pos="1800" w:leader="none"/>
        </w:tabs>
        <w:rPr/>
      </w:pPr>
      <w:r>
        <w:rPr/>
        <w:tab/>
        <w:t>Total – 160,000</w:t>
      </w:r>
    </w:p>
    <w:p>
      <w:pPr>
        <w:pStyle w:val="Normal"/>
        <w:tabs>
          <w:tab w:val="left" w:pos="360" w:leader="none"/>
          <w:tab w:val="left" w:pos="720" w:leader="none"/>
          <w:tab w:val="left" w:pos="1260" w:leader="none"/>
          <w:tab w:val="left" w:pos="1800" w:leader="none"/>
        </w:tabs>
        <w:rPr/>
      </w:pPr>
      <w:r>
        <w:rPr/>
        <w:tab/>
        <w:t xml:space="preserve">New Customers – </w:t>
      </w:r>
    </w:p>
    <w:p>
      <w:pPr>
        <w:pStyle w:val="Normal"/>
        <w:tabs>
          <w:tab w:val="left" w:pos="360" w:leader="none"/>
          <w:tab w:val="left" w:pos="720" w:leader="none"/>
          <w:tab w:val="left" w:pos="1260" w:leader="none"/>
          <w:tab w:val="left" w:pos="1800" w:leader="none"/>
        </w:tabs>
        <w:rPr/>
      </w:pPr>
      <w:r>
        <w:rPr/>
      </w:r>
    </w:p>
    <w:p>
      <w:pPr>
        <w:pStyle w:val="Normal"/>
        <w:tabs>
          <w:tab w:val="left" w:pos="360" w:leader="none"/>
          <w:tab w:val="left" w:pos="720" w:leader="none"/>
          <w:tab w:val="left" w:pos="1260" w:leader="none"/>
          <w:tab w:val="left" w:pos="1800" w:leader="none"/>
        </w:tabs>
        <w:rPr/>
      </w:pPr>
      <w:r>
        <w:rPr/>
        <w:t>Pipelines:</w:t>
      </w:r>
    </w:p>
    <w:p>
      <w:pPr>
        <w:pStyle w:val="Normal"/>
        <w:tabs>
          <w:tab w:val="left" w:pos="360" w:leader="none"/>
          <w:tab w:val="left" w:pos="720" w:leader="none"/>
          <w:tab w:val="left" w:pos="1260" w:leader="none"/>
          <w:tab w:val="left" w:pos="1800" w:leader="none"/>
        </w:tabs>
        <w:rPr/>
      </w:pPr>
      <w:r>
        <w:rPr/>
        <w:tab/>
        <w:t>Transmission System:</w:t>
      </w:r>
    </w:p>
    <w:p>
      <w:pPr>
        <w:pStyle w:val="Normal"/>
        <w:tabs>
          <w:tab w:val="left" w:pos="360" w:leader="none"/>
          <w:tab w:val="left" w:pos="720" w:leader="none"/>
          <w:tab w:val="left" w:pos="1260" w:leader="none"/>
          <w:tab w:val="left" w:pos="1800" w:leader="none"/>
        </w:tabs>
        <w:rPr/>
      </w:pPr>
      <w:r>
        <w:rPr/>
        <w:tab/>
        <w:tab/>
        <w:t>Gaz Metropolitain - 832</w:t>
      </w:r>
    </w:p>
    <w:p>
      <w:pPr>
        <w:pStyle w:val="Normal"/>
        <w:tabs>
          <w:tab w:val="left" w:pos="360" w:leader="none"/>
          <w:tab w:val="left" w:pos="720" w:leader="none"/>
          <w:tab w:val="left" w:pos="1260" w:leader="none"/>
          <w:tab w:val="left" w:pos="1800" w:leader="none"/>
        </w:tabs>
        <w:rPr/>
      </w:pPr>
      <w:r>
        <w:rPr/>
        <w:tab/>
        <w:tab/>
        <w:t xml:space="preserve">TransQuebec &amp; Maritimes – 220 km </w:t>
      </w:r>
    </w:p>
    <w:p>
      <w:pPr>
        <w:pStyle w:val="Normal"/>
        <w:tabs>
          <w:tab w:val="left" w:pos="360" w:leader="none"/>
          <w:tab w:val="left" w:pos="720" w:leader="none"/>
          <w:tab w:val="left" w:pos="1260" w:leader="none"/>
          <w:tab w:val="left" w:pos="1800" w:leader="none"/>
        </w:tabs>
        <w:rPr/>
      </w:pPr>
      <w:r>
        <w:rPr/>
        <w:tab/>
        <w:tab/>
        <w:t>Portland Natural Gas Transmission – 350 km</w:t>
      </w:r>
    </w:p>
    <w:p>
      <w:pPr>
        <w:pStyle w:val="Normal"/>
        <w:tabs>
          <w:tab w:val="left" w:pos="360" w:leader="none"/>
          <w:tab w:val="left" w:pos="720" w:leader="none"/>
          <w:tab w:val="left" w:pos="1260" w:leader="none"/>
          <w:tab w:val="left" w:pos="1800" w:leader="none"/>
        </w:tabs>
        <w:rPr/>
      </w:pPr>
      <w:r>
        <w:rPr/>
        <w:tab/>
        <w:tab/>
        <w:t>Vermont Gas – 712 km</w:t>
      </w:r>
    </w:p>
    <w:p>
      <w:pPr>
        <w:pStyle w:val="Normal"/>
        <w:tabs>
          <w:tab w:val="left" w:pos="360" w:leader="none"/>
          <w:tab w:val="left" w:pos="720" w:leader="none"/>
          <w:tab w:val="left" w:pos="1260" w:leader="none"/>
          <w:tab w:val="left" w:pos="1800" w:leader="none"/>
        </w:tabs>
        <w:rPr/>
      </w:pPr>
      <w:r>
        <w:rPr/>
        <w:tab/>
        <w:t>Distribution System – 8,339 km</w:t>
      </w:r>
    </w:p>
    <w:p>
      <w:pPr>
        <w:pStyle w:val="Normal"/>
        <w:tabs>
          <w:tab w:val="left" w:pos="360" w:leader="none"/>
          <w:tab w:val="left" w:pos="720" w:leader="none"/>
          <w:tab w:val="left" w:pos="1260" w:leader="none"/>
          <w:tab w:val="left" w:pos="1800" w:leader="none"/>
        </w:tabs>
        <w:rPr/>
      </w:pPr>
      <w:r>
        <w:rPr/>
        <w:tab/>
        <w:t xml:space="preserve">Throughput –  </w:t>
      </w:r>
    </w:p>
    <w:p>
      <w:pPr>
        <w:pStyle w:val="Normal"/>
        <w:tabs>
          <w:tab w:val="left" w:pos="360" w:leader="none"/>
          <w:tab w:val="left" w:pos="720" w:leader="none"/>
          <w:tab w:val="left" w:pos="1260" w:leader="none"/>
          <w:tab w:val="left" w:pos="1800" w:leader="none"/>
        </w:tabs>
        <w:rPr/>
      </w:pPr>
      <w:r>
        <w:rPr/>
        <w:tab/>
        <w:t>Peak Day –</w:t>
      </w:r>
    </w:p>
    <w:p>
      <w:pPr>
        <w:pStyle w:val="Normal"/>
        <w:tabs>
          <w:tab w:val="left" w:pos="360" w:leader="none"/>
          <w:tab w:val="left" w:pos="720" w:leader="none"/>
          <w:tab w:val="left" w:pos="1260" w:leader="none"/>
          <w:tab w:val="left" w:pos="1800" w:leader="none"/>
        </w:tabs>
        <w:rPr/>
      </w:pPr>
      <w:r>
        <w:rPr/>
      </w:r>
    </w:p>
    <w:p>
      <w:pPr>
        <w:pStyle w:val="Normal"/>
        <w:tabs>
          <w:tab w:val="left" w:pos="720" w:leader="none"/>
          <w:tab w:val="left" w:pos="1260" w:leader="none"/>
          <w:tab w:val="left" w:pos="1800" w:leader="none"/>
        </w:tabs>
        <w:rPr/>
      </w:pPr>
      <w:r>
        <w:rPr/>
        <w:t>Storage:</w:t>
      </w:r>
    </w:p>
    <w:p>
      <w:pPr>
        <w:pStyle w:val="Normal"/>
        <w:tabs>
          <w:tab w:val="clear" w:pos="720"/>
          <w:tab w:val="left" w:pos="360" w:leader="none"/>
          <w:tab w:val="left" w:pos="1260" w:leader="none"/>
          <w:tab w:val="left" w:pos="1800" w:leader="none"/>
        </w:tabs>
        <w:rPr/>
      </w:pPr>
      <w:r>
        <w:rPr/>
        <w:tab/>
        <w:t>GMI has two underground storage facilities and one liquid gas storage facility.</w:t>
        <w:tab/>
      </w:r>
    </w:p>
    <w:p>
      <w:pPr>
        <w:pStyle w:val="Normal"/>
        <w:tabs>
          <w:tab w:val="clear" w:pos="720"/>
          <w:tab w:val="left" w:pos="360" w:leader="none"/>
          <w:tab w:val="left" w:pos="1260" w:leader="none"/>
          <w:tab w:val="left" w:pos="1800" w:leader="none"/>
        </w:tabs>
        <w:rPr/>
      </w:pPr>
      <w:r>
        <w:rPr/>
        <w:tab/>
        <w:t>Working Capacity Southwest Ontario – 600 MMCM</w:t>
      </w:r>
    </w:p>
    <w:p>
      <w:pPr>
        <w:pStyle w:val="Normal"/>
        <w:tabs>
          <w:tab w:val="clear" w:pos="720"/>
          <w:tab w:val="left" w:pos="360" w:leader="none"/>
          <w:tab w:val="left" w:pos="1260" w:leader="none"/>
          <w:tab w:val="left" w:pos="1800" w:leader="none"/>
        </w:tabs>
        <w:rPr/>
      </w:pPr>
      <w:r>
        <w:rPr/>
        <w:tab/>
        <w:t>Working Capacity Pointe-du-Lac – 29 MMCM</w:t>
      </w:r>
    </w:p>
    <w:p>
      <w:pPr>
        <w:pStyle w:val="Normal"/>
        <w:tabs>
          <w:tab w:val="clear" w:pos="720"/>
          <w:tab w:val="left" w:pos="360" w:leader="none"/>
          <w:tab w:val="left" w:pos="1260" w:leader="none"/>
          <w:tab w:val="left" w:pos="1800" w:leader="none"/>
        </w:tabs>
        <w:rPr/>
      </w:pPr>
      <w:r>
        <w:rPr/>
        <w:tab/>
        <w:t>Working Capacity Liquid Gas plant, Montreal – 57 MMCM</w:t>
      </w:r>
    </w:p>
    <w:p>
      <w:pPr>
        <w:pStyle w:val="Normal"/>
        <w:tabs>
          <w:tab w:val="clear" w:pos="720"/>
          <w:tab w:val="left" w:pos="360" w:leader="none"/>
          <w:tab w:val="left" w:pos="1260" w:leader="none"/>
          <w:tab w:val="left" w:pos="1800" w:leader="none"/>
        </w:tabs>
        <w:rPr/>
      </w:pPr>
      <w:r>
        <w:rPr/>
        <w:tab/>
        <w:t>Delivery –</w:t>
      </w:r>
    </w:p>
    <w:p>
      <w:pPr>
        <w:pStyle w:val="Normal"/>
        <w:tabs>
          <w:tab w:val="clear" w:pos="720"/>
          <w:tab w:val="left" w:pos="360" w:leader="none"/>
          <w:tab w:val="left" w:pos="1260" w:leader="none"/>
          <w:tab w:val="left" w:pos="1800" w:leader="none"/>
        </w:tabs>
        <w:rPr/>
      </w:pPr>
      <w:r>
        <w:rPr/>
        <w:tab/>
        <w:t xml:space="preserve">Average Day –  </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Gas Supply:</w:t>
      </w:r>
    </w:p>
    <w:p>
      <w:pPr>
        <w:pStyle w:val="Normal"/>
        <w:tabs>
          <w:tab w:val="clear" w:pos="720"/>
          <w:tab w:val="left" w:pos="360" w:leader="none"/>
          <w:tab w:val="left" w:pos="1260" w:leader="none"/>
          <w:tab w:val="left" w:pos="1800" w:leader="none"/>
        </w:tabs>
        <w:rPr/>
      </w:pPr>
      <w:r>
        <w:rPr/>
        <w:tab/>
        <w:t>Transcanada Pipeline – 100%</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Interconnects:</w:t>
      </w:r>
    </w:p>
    <w:p>
      <w:pPr>
        <w:pStyle w:val="Normal"/>
        <w:tabs>
          <w:tab w:val="clear" w:pos="720"/>
          <w:tab w:val="left" w:pos="360" w:leader="none"/>
          <w:tab w:val="left" w:pos="1260" w:leader="none"/>
          <w:tab w:val="left" w:pos="1800" w:leader="none"/>
        </w:tabs>
        <w:rPr/>
      </w:pPr>
      <w:r>
        <w:rPr/>
        <w:tab/>
      </w:r>
    </w:p>
    <w:p>
      <w:pPr>
        <w:pStyle w:val="Normal"/>
        <w:tabs>
          <w:tab w:val="clear" w:pos="720"/>
          <w:tab w:val="left" w:pos="360" w:leader="none"/>
          <w:tab w:val="left" w:pos="1260" w:leader="none"/>
          <w:tab w:val="left" w:pos="1800" w:leader="none"/>
        </w:tabs>
        <w:rPr/>
      </w:pPr>
      <w:r>
        <w:rPr/>
        <w:t>Current Projects:</w:t>
      </w:r>
    </w:p>
    <w:p>
      <w:pPr>
        <w:pStyle w:val="Normal"/>
        <w:tabs>
          <w:tab w:val="clear" w:pos="720"/>
          <w:tab w:val="left" w:pos="360" w:leader="none"/>
          <w:tab w:val="left" w:pos="1260" w:leader="none"/>
          <w:tab w:val="left" w:pos="1800" w:leader="none"/>
        </w:tabs>
        <w:rPr/>
      </w:pPr>
      <w:r>
        <w:rPr/>
        <w:tab/>
        <w:t>Proposed extension of GMIs system in order to connect to the maritimes near sable island.</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Electricity:</w:t>
      </w:r>
    </w:p>
    <w:p>
      <w:pPr>
        <w:pStyle w:val="Normal"/>
        <w:tabs>
          <w:tab w:val="clear" w:pos="720"/>
          <w:tab w:val="left" w:pos="360" w:leader="none"/>
          <w:tab w:val="left" w:pos="1260" w:leader="none"/>
          <w:tab w:val="left" w:pos="1800" w:leader="none"/>
        </w:tabs>
        <w:rPr/>
      </w:pPr>
      <w:r>
        <w:rPr/>
        <w:tab/>
        <w:t>Served by Hydro-Quebec</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Industrial Customers:</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Share of energy market:</w:t>
      </w:r>
    </w:p>
    <w:p>
      <w:pPr>
        <w:pStyle w:val="Normal"/>
        <w:tabs>
          <w:tab w:val="clear" w:pos="720"/>
          <w:tab w:val="left" w:pos="360" w:leader="none"/>
          <w:tab w:val="left" w:pos="1260" w:leader="none"/>
          <w:tab w:val="left" w:pos="1800" w:leader="none"/>
        </w:tabs>
        <w:rPr/>
      </w:pPr>
      <w:r>
        <w:rPr/>
        <w:tab/>
        <w:tab/>
        <w:tab/>
      </w:r>
      <w:r>
        <w:rPr>
          <w:u w:val="single"/>
        </w:rPr>
        <w:t>1973 (Quebec)</w:t>
      </w:r>
      <w:r>
        <w:rPr/>
        <w:tab/>
      </w:r>
      <w:r>
        <w:rPr>
          <w:u w:val="single"/>
        </w:rPr>
        <w:t>1995 (Quebec)</w:t>
      </w:r>
      <w:r>
        <w:rPr/>
        <w:tab/>
        <w:tab/>
      </w:r>
      <w:r>
        <w:rPr>
          <w:u w:val="single"/>
        </w:rPr>
        <w:t>1995 (Canada)</w:t>
      </w:r>
      <w:r>
        <w:rPr/>
        <w:tab/>
      </w:r>
    </w:p>
    <w:p>
      <w:pPr>
        <w:pStyle w:val="Normal"/>
        <w:tabs>
          <w:tab w:val="clear" w:pos="720"/>
          <w:tab w:val="left" w:pos="360" w:leader="none"/>
          <w:tab w:val="left" w:pos="1260" w:leader="none"/>
          <w:tab w:val="left" w:pos="1800" w:leader="none"/>
          <w:tab w:val="left" w:pos="2160" w:leader="none"/>
          <w:tab w:val="left" w:pos="4050" w:leader="none"/>
          <w:tab w:val="left" w:pos="6210" w:leader="none"/>
        </w:tabs>
        <w:rPr/>
      </w:pPr>
      <w:r>
        <w:rPr/>
        <w:tab/>
        <w:t>Natural Gas</w:t>
        <w:tab/>
        <w:tab/>
        <w:t>5%</w:t>
        <w:tab/>
        <w:t>16%</w:t>
        <w:tab/>
        <w:t>34%</w:t>
      </w:r>
    </w:p>
    <w:p>
      <w:pPr>
        <w:pStyle w:val="Normal"/>
        <w:tabs>
          <w:tab w:val="clear" w:pos="720"/>
          <w:tab w:val="left" w:pos="360" w:leader="none"/>
          <w:tab w:val="left" w:pos="1260" w:leader="none"/>
          <w:tab w:val="left" w:pos="1800" w:leader="none"/>
          <w:tab w:val="left" w:pos="2160" w:leader="none"/>
          <w:tab w:val="left" w:pos="4050" w:leader="none"/>
          <w:tab w:val="left" w:pos="6210" w:leader="none"/>
        </w:tabs>
        <w:rPr/>
      </w:pPr>
      <w:r>
        <w:rPr/>
        <w:tab/>
        <w:t>Oil</w:t>
        <w:tab/>
        <w:tab/>
        <w:tab/>
        <w:t>73%</w:t>
        <w:tab/>
        <w:t>41%</w:t>
        <w:tab/>
        <w:t>40%</w:t>
      </w:r>
    </w:p>
    <w:p>
      <w:pPr>
        <w:pStyle w:val="Normal"/>
        <w:tabs>
          <w:tab w:val="clear" w:pos="720"/>
          <w:tab w:val="left" w:pos="360" w:leader="none"/>
          <w:tab w:val="left" w:pos="1260" w:leader="none"/>
          <w:tab w:val="left" w:pos="1800" w:leader="none"/>
          <w:tab w:val="left" w:pos="2160" w:leader="none"/>
          <w:tab w:val="left" w:pos="4050" w:leader="none"/>
          <w:tab w:val="left" w:pos="6210" w:leader="none"/>
        </w:tabs>
        <w:rPr/>
      </w:pPr>
      <w:r>
        <w:rPr/>
        <w:tab/>
        <w:t>Electricity</w:t>
        <w:tab/>
        <w:tab/>
        <w:tab/>
        <w:t>20%</w:t>
        <w:tab/>
        <w:t>42%</w:t>
        <w:tab/>
        <w:t>26%</w:t>
      </w:r>
    </w:p>
    <w:p>
      <w:pPr>
        <w:pStyle w:val="Normal"/>
        <w:tabs>
          <w:tab w:val="clear" w:pos="720"/>
          <w:tab w:val="left" w:pos="360" w:leader="none"/>
          <w:tab w:val="left" w:pos="1260" w:leader="none"/>
          <w:tab w:val="left" w:pos="1800" w:leader="none"/>
          <w:tab w:val="left" w:pos="2160" w:leader="none"/>
          <w:tab w:val="left" w:pos="4050" w:leader="none"/>
          <w:tab w:val="left" w:pos="6210" w:leader="none"/>
        </w:tabs>
        <w:rPr/>
      </w:pPr>
      <w:r>
        <w:rPr/>
        <w:tab/>
        <w:t>Other</w:t>
        <w:tab/>
        <w:tab/>
        <w:tab/>
        <w:t>2%</w:t>
        <w:tab/>
        <w:t>1%</w:t>
        <w:tab/>
        <w:t>1%</w:t>
      </w:r>
    </w:p>
    <w:p>
      <w:pPr>
        <w:pStyle w:val="Normal"/>
        <w:tabs>
          <w:tab w:val="clear" w:pos="720"/>
          <w:tab w:val="left" w:pos="360" w:leader="none"/>
          <w:tab w:val="left" w:pos="1260" w:leader="none"/>
          <w:tab w:val="left" w:pos="1800" w:leader="none"/>
          <w:tab w:val="left" w:pos="2160" w:leader="none"/>
          <w:tab w:val="left" w:pos="4050" w:leader="none"/>
          <w:tab w:val="left" w:pos="6210" w:leader="none"/>
        </w:tabs>
        <w:rPr/>
      </w:pPr>
      <w:r>
        <w:rPr/>
      </w:r>
    </w:p>
    <w:p>
      <w:pPr>
        <w:pStyle w:val="Normal"/>
        <w:tabs>
          <w:tab w:val="clear" w:pos="720"/>
          <w:tab w:val="left" w:pos="360" w:leader="none"/>
          <w:tab w:val="left" w:pos="1260" w:leader="none"/>
          <w:tab w:val="left" w:pos="1800" w:leader="none"/>
        </w:tabs>
        <w:rPr/>
      </w:pPr>
      <w:r>
        <w:rPr/>
        <w:tab/>
      </w:r>
    </w:p>
    <w:p>
      <w:pPr>
        <w:pStyle w:val="Normal"/>
        <w:tabs>
          <w:tab w:val="clear" w:pos="720"/>
          <w:tab w:val="left" w:pos="360" w:leader="none"/>
          <w:tab w:val="left" w:pos="1260" w:leader="none"/>
          <w:tab w:val="left" w:pos="1800" w:leader="none"/>
        </w:tabs>
        <w:rPr/>
      </w:pPr>
      <w:r>
        <w:rPr/>
        <w:t>Incentive Mechanism:</w:t>
      </w:r>
    </w:p>
    <w:p>
      <w:pPr>
        <w:pStyle w:val="Normal"/>
        <w:tabs>
          <w:tab w:val="clear" w:pos="720"/>
          <w:tab w:val="left" w:pos="360" w:leader="none"/>
          <w:tab w:val="left" w:pos="1260" w:leader="none"/>
          <w:tab w:val="left" w:pos="1800" w:leader="none"/>
        </w:tabs>
        <w:rPr/>
      </w:pPr>
      <w:r>
        <w:rPr/>
        <w:tab/>
      </w:r>
    </w:p>
    <w:p>
      <w:pPr>
        <w:pStyle w:val="Normal"/>
        <w:tabs>
          <w:tab w:val="clear" w:pos="720"/>
          <w:tab w:val="left" w:pos="360" w:leader="none"/>
          <w:tab w:val="left" w:pos="1260" w:leader="none"/>
          <w:tab w:val="left" w:pos="1800" w:leader="none"/>
        </w:tabs>
        <w:rPr/>
      </w:pPr>
      <w:r>
        <w:rPr/>
        <w:tab/>
      </w:r>
    </w:p>
    <w:p>
      <w:pPr>
        <w:pStyle w:val="Normal"/>
        <w:tabs>
          <w:tab w:val="clear" w:pos="720"/>
          <w:tab w:val="left" w:pos="360" w:leader="none"/>
          <w:tab w:val="left" w:pos="1260" w:leader="none"/>
          <w:tab w:val="left" w:pos="1800" w:leader="none"/>
        </w:tabs>
        <w:rPr/>
      </w:pPr>
      <w:r>
        <w:rPr/>
        <w:t>Regulatory Body:</w:t>
      </w:r>
    </w:p>
    <w:p>
      <w:pPr>
        <w:pStyle w:val="Normal"/>
        <w:tabs>
          <w:tab w:val="clear" w:pos="720"/>
          <w:tab w:val="left" w:pos="360" w:leader="none"/>
          <w:tab w:val="left" w:pos="1260" w:leader="none"/>
          <w:tab w:val="left" w:pos="1800" w:leader="none"/>
        </w:tabs>
        <w:rPr/>
      </w:pPr>
      <w:r>
        <w:rPr/>
        <w:tab/>
        <w:t>Regie de l’energie</w:t>
      </w:r>
    </w:p>
    <w:p>
      <w:pPr>
        <w:pStyle w:val="Normal"/>
        <w:tabs>
          <w:tab w:val="clear" w:pos="720"/>
          <w:tab w:val="left" w:pos="360" w:leader="none"/>
          <w:tab w:val="left" w:pos="1260" w:leader="none"/>
          <w:tab w:val="left" w:pos="1800" w:leader="none"/>
        </w:tabs>
        <w:rPr/>
      </w:pPr>
      <w:r>
        <w:rPr/>
        <w:tab/>
        <w:t>National Energy Board</w:t>
      </w:r>
    </w:p>
    <w:p>
      <w:pPr>
        <w:pStyle w:val="Normal"/>
        <w:tabs>
          <w:tab w:val="clear" w:pos="720"/>
          <w:tab w:val="left" w:pos="360" w:leader="none"/>
          <w:tab w:val="left" w:pos="1260" w:leader="none"/>
          <w:tab w:val="left" w:pos="1800" w:leader="none"/>
        </w:tabs>
        <w:rPr/>
      </w:pPr>
      <w:r>
        <w:rPr/>
      </w:r>
    </w:p>
    <w:p>
      <w:pPr>
        <w:pStyle w:val="Normal"/>
        <w:tabs>
          <w:tab w:val="clear" w:pos="720"/>
          <w:tab w:val="left" w:pos="360" w:leader="none"/>
          <w:tab w:val="left" w:pos="1260" w:leader="none"/>
          <w:tab w:val="left" w:pos="1800" w:leader="none"/>
        </w:tabs>
        <w:rPr/>
      </w:pPr>
      <w:r>
        <w:rPr/>
        <w:t>Contractual Information:</w:t>
      </w:r>
    </w:p>
    <w:p>
      <w:pPr>
        <w:pStyle w:val="Normal"/>
        <w:tabs>
          <w:tab w:val="clear" w:pos="720"/>
          <w:tab w:val="left" w:pos="360" w:leader="none"/>
          <w:tab w:val="left" w:pos="1260" w:leader="none"/>
          <w:tab w:val="left" w:pos="1800" w:leader="none"/>
        </w:tabs>
        <w:ind w:hanging="1800" w:start="1800" w:end="0"/>
        <w:rPr/>
      </w:pPr>
      <w:r>
        <w:rPr/>
        <w:tab/>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260" w:leader="none"/>
        <w:tab w:val="left" w:pos="1800" w:leader="none"/>
      </w:tabs>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2000-01-10T17:30:00Z</dcterms:created>
  <dc:creator>Andrew Lewis</dc:creator>
  <dc:description/>
  <dc:language>en-CA</dc:language>
  <cp:lastModifiedBy>Andrew Lewis</cp:lastModifiedBy>
  <cp:lastPrinted>1999-11-19T15:36:00Z</cp:lastPrinted>
  <dcterms:modified xsi:type="dcterms:W3CDTF">2000-01-11T16:03:00Z</dcterms:modified>
  <cp:revision>10</cp:revision>
  <dc:subject/>
  <dc:title>UNION GAS</dc:title>
</cp:coreProperties>
</file>