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lineRule="atLeast" w:line="0"/>
        <w:rPr>
          <w:sz w:val="20"/>
        </w:rPr>
      </w:pPr>
      <w:r>
        <w:rPr>
          <w:sz w:val="20"/>
        </w:rPr>
        <w:t>GISSELLE ROHMER</w:t>
      </w:r>
    </w:p>
    <w:p>
      <w:pPr>
        <w:pStyle w:val="Normal"/>
        <w:spacing w:lineRule="atLeast" w:line="0"/>
        <w:jc w:val="center"/>
        <w:rPr>
          <w:sz w:val="16"/>
        </w:rPr>
      </w:pPr>
      <w:r>
        <w:rPr>
          <w:sz w:val="16"/>
        </w:rPr>
        <w:t>Enron Energy Services</w:t>
      </w:r>
    </w:p>
    <w:p>
      <w:pPr>
        <w:pStyle w:val="Normal"/>
        <w:spacing w:lineRule="atLeast" w:line="0"/>
        <w:jc w:val="center"/>
        <w:rPr>
          <w:sz w:val="16"/>
        </w:rPr>
      </w:pPr>
      <w:r>
        <w:rPr>
          <w:sz w:val="16"/>
        </w:rPr>
        <w:t xml:space="preserve">Location EB627i, (713)-853-5218  </w:t>
      </w:r>
    </w:p>
    <w:p>
      <w:pPr>
        <w:pStyle w:val="Normal"/>
        <w:spacing w:lineRule="atLeast" w:line="0"/>
        <w:jc w:val="center"/>
        <w:rPr>
          <w:sz w:val="16"/>
        </w:rPr>
      </w:pPr>
      <w:hyperlink r:id="rId2">
        <w:r>
          <w:rPr>
            <w:rStyle w:val="Hyperlink"/>
            <w:sz w:val="16"/>
          </w:rPr>
          <w:t>gisselle.rohmer@enron.com</w:t>
        </w:r>
      </w:hyperlink>
    </w:p>
    <w:p>
      <w:pPr>
        <w:pStyle w:val="Heading1"/>
        <w:spacing w:lineRule="atLeast" w:line="0"/>
        <w:ind w:hanging="0" w:start="0"/>
        <w:rPr>
          <w:sz w:val="20"/>
          <w:u w:val="none"/>
        </w:rPr>
      </w:pPr>
      <w:r>
        <w:rPr>
          <w:sz w:val="20"/>
        </w:rPr>
        <w:t>CAREER OBJECTIVE</w:t>
      </w:r>
    </w:p>
    <w:p>
      <w:pPr>
        <w:pStyle w:val="Normal"/>
        <w:spacing w:lineRule="atLeast" w:line="0"/>
        <w:jc w:val="center"/>
        <w:rPr>
          <w:b/>
          <w:i/>
          <w:i/>
          <w:sz w:val="20"/>
        </w:rPr>
      </w:pPr>
      <w:r>
        <w:rPr>
          <w:b/>
          <w:i/>
          <w:sz w:val="20"/>
        </w:rPr>
        <w:t>A challenging and stimulating employment in a group giving ample opportunities to take on responsibility, learn, and grow.</w:t>
      </w:r>
    </w:p>
    <w:p>
      <w:pPr>
        <w:pStyle w:val="Heading1"/>
        <w:spacing w:lineRule="atLeast" w:line="0"/>
        <w:ind w:hanging="0" w:start="0"/>
        <w:rPr>
          <w:b w:val="false"/>
          <w:i/>
          <w:i/>
          <w:sz w:val="12"/>
        </w:rPr>
      </w:pPr>
      <w:r>
        <w:rPr>
          <w:b w:val="false"/>
          <w:i/>
          <w:sz w:val="12"/>
        </w:rPr>
      </w:r>
    </w:p>
    <w:p>
      <w:pPr>
        <w:pStyle w:val="Heading1"/>
        <w:spacing w:lineRule="atLeast" w:line="0"/>
        <w:ind w:hanging="0" w:start="0"/>
        <w:rPr>
          <w:sz w:val="20"/>
        </w:rPr>
      </w:pPr>
      <w:r>
        <w:rPr>
          <w:sz w:val="20"/>
        </w:rPr>
        <w:t>WORK EXPERIENCE</w:t>
      </w:r>
    </w:p>
    <w:p>
      <w:pPr>
        <w:pStyle w:val="Normal"/>
        <w:spacing w:lineRule="atLeast" w:line="0"/>
        <w:rPr/>
      </w:pPr>
      <w:r>
        <w:rPr>
          <w:sz w:val="16"/>
        </w:rPr>
        <w:t>July 2000- Present</w:t>
      </w:r>
      <w:r>
        <w:rPr>
          <w:sz w:val="20"/>
        </w:rPr>
        <w:tab/>
      </w:r>
      <w:r>
        <w:rPr>
          <w:b/>
          <w:sz w:val="20"/>
        </w:rPr>
        <w:t>Enron Energy Services, Underwriting</w:t>
      </w:r>
      <w:r>
        <w:rPr>
          <w:sz w:val="20"/>
        </w:rPr>
        <w:t xml:space="preserve"> </w:t>
      </w:r>
    </w:p>
    <w:p>
      <w:pPr>
        <w:pStyle w:val="Normal"/>
        <w:spacing w:lineRule="atLeast" w:line="0"/>
        <w:jc w:val="both"/>
        <w:rPr/>
      </w:pPr>
      <w:r>
        <w:rPr>
          <w:sz w:val="20"/>
        </w:rPr>
        <w:tab/>
        <w:tab/>
      </w:r>
      <w:r>
        <w:rPr>
          <w:b/>
          <w:i/>
          <w:sz w:val="20"/>
        </w:rPr>
        <w:t>Power Player, Quarter 1</w:t>
      </w:r>
    </w:p>
    <w:p>
      <w:pPr>
        <w:pStyle w:val="Normal"/>
        <w:numPr>
          <w:ilvl w:val="0"/>
          <w:numId w:val="2"/>
        </w:numPr>
        <w:spacing w:lineRule="atLeast" w:line="0"/>
        <w:jc w:val="both"/>
        <w:rPr>
          <w:sz w:val="20"/>
        </w:rPr>
      </w:pPr>
      <w:r>
        <w:rPr>
          <w:sz w:val="20"/>
        </w:rPr>
        <w:t>Recognized by EES for my outstanding achievements, my dedication and hard work. Rewarded for my efforts in thinking of new products and building pricing matrices, which shorten the pricing cycle and provide daily executable pricing to origination. This follows the trend towards less customization and more standardization necessary to bring EES to the next level.</w:t>
      </w:r>
    </w:p>
    <w:p>
      <w:pPr>
        <w:pStyle w:val="Normal"/>
        <w:numPr>
          <w:ilvl w:val="0"/>
          <w:numId w:val="5"/>
        </w:numPr>
        <w:tabs>
          <w:tab w:val="clear" w:pos="720"/>
          <w:tab w:val="left" w:pos="1800" w:leader="none"/>
        </w:tabs>
        <w:spacing w:lineRule="atLeast" w:line="0"/>
        <w:ind w:hanging="360" w:start="1800" w:end="0"/>
        <w:jc w:val="both"/>
        <w:rPr>
          <w:sz w:val="20"/>
        </w:rPr>
      </w:pPr>
      <w:r>
        <w:rPr>
          <w:sz w:val="20"/>
        </w:rPr>
        <w:t>Responsible for pricing and structuring all Power Mid Market and Large Commodities deals in the states of Massachusetts, Texas and Rhode Island. Supported New Jersey underwriter.</w:t>
      </w:r>
    </w:p>
    <w:p>
      <w:pPr>
        <w:pStyle w:val="Normal"/>
        <w:numPr>
          <w:ilvl w:val="0"/>
          <w:numId w:val="5"/>
        </w:numPr>
        <w:tabs>
          <w:tab w:val="clear" w:pos="720"/>
          <w:tab w:val="left" w:pos="1800" w:leader="none"/>
        </w:tabs>
        <w:spacing w:lineRule="atLeast" w:line="0"/>
        <w:ind w:hanging="360" w:start="1800" w:end="0"/>
        <w:jc w:val="both"/>
        <w:rPr>
          <w:sz w:val="20"/>
        </w:rPr>
      </w:pPr>
      <w:r>
        <w:rPr>
          <w:sz w:val="20"/>
        </w:rPr>
        <w:t xml:space="preserve">Gained a strong knowledge of power deal structures, including swaps and options. Gained a strong understanding of various risks components, hedging techniques and power and tariff curve generation. Served as liaison between EES Underwriting and Origination, Structuring, RAC, Legal, and the Commodity and Tariff desks. </w:t>
      </w:r>
    </w:p>
    <w:p>
      <w:pPr>
        <w:pStyle w:val="Normal"/>
        <w:numPr>
          <w:ilvl w:val="0"/>
          <w:numId w:val="5"/>
        </w:numPr>
        <w:tabs>
          <w:tab w:val="clear" w:pos="720"/>
          <w:tab w:val="left" w:pos="1800" w:leader="none"/>
        </w:tabs>
        <w:spacing w:lineRule="atLeast" w:line="0"/>
        <w:ind w:hanging="360" w:start="1800" w:end="0"/>
        <w:jc w:val="both"/>
        <w:rPr>
          <w:sz w:val="20"/>
        </w:rPr>
      </w:pPr>
      <w:r>
        <w:rPr>
          <w:sz w:val="20"/>
        </w:rPr>
        <w:t xml:space="preserve">Priced over 100 deals, and closed 25 deals with total contract value of more than </w:t>
      </w:r>
      <w:r>
        <w:rPr>
          <w:b/>
          <w:sz w:val="20"/>
        </w:rPr>
        <w:t>$220,000,000</w:t>
      </w:r>
      <w:r>
        <w:rPr>
          <w:sz w:val="20"/>
        </w:rPr>
        <w:t>.</w:t>
      </w:r>
    </w:p>
    <w:p>
      <w:pPr>
        <w:pStyle w:val="Normal"/>
        <w:numPr>
          <w:ilvl w:val="0"/>
          <w:numId w:val="5"/>
        </w:numPr>
        <w:tabs>
          <w:tab w:val="clear" w:pos="720"/>
          <w:tab w:val="left" w:pos="1800" w:leader="none"/>
        </w:tabs>
        <w:spacing w:lineRule="atLeast" w:line="0"/>
        <w:ind w:hanging="360" w:start="1800" w:end="0"/>
        <w:jc w:val="both"/>
        <w:rPr>
          <w:sz w:val="20"/>
        </w:rPr>
      </w:pPr>
      <w:r>
        <w:rPr>
          <w:sz w:val="20"/>
        </w:rPr>
        <w:t>Participated in defining the pricing methodology of EES’ largest national deal. (JC Penney)</w:t>
      </w:r>
    </w:p>
    <w:p>
      <w:pPr>
        <w:pStyle w:val="Normal"/>
        <w:numPr>
          <w:ilvl w:val="0"/>
          <w:numId w:val="5"/>
        </w:numPr>
        <w:tabs>
          <w:tab w:val="clear" w:pos="720"/>
          <w:tab w:val="left" w:pos="1800" w:leader="none"/>
        </w:tabs>
        <w:spacing w:lineRule="atLeast" w:line="0"/>
        <w:ind w:hanging="360" w:start="1800" w:end="0"/>
        <w:jc w:val="both"/>
        <w:rPr>
          <w:sz w:val="20"/>
        </w:rPr>
      </w:pPr>
      <w:r>
        <w:rPr>
          <w:sz w:val="20"/>
        </w:rPr>
        <w:t xml:space="preserve">Some of to-date closed deals include: </w:t>
      </w:r>
    </w:p>
    <w:p>
      <w:pPr>
        <w:pStyle w:val="Normal"/>
        <w:numPr>
          <w:ilvl w:val="0"/>
          <w:numId w:val="7"/>
        </w:numPr>
        <w:tabs>
          <w:tab w:val="clear" w:pos="720"/>
          <w:tab w:val="left" w:pos="1800" w:leader="none"/>
          <w:tab w:val="left" w:pos="2880" w:leader="none"/>
        </w:tabs>
        <w:spacing w:lineRule="atLeast" w:line="0"/>
        <w:ind w:hanging="360" w:start="2880" w:end="0"/>
        <w:jc w:val="both"/>
        <w:rPr>
          <w:sz w:val="20"/>
        </w:rPr>
      </w:pPr>
      <w:r>
        <w:rPr>
          <w:sz w:val="20"/>
        </w:rPr>
        <w:t>National Deals: JCPenney, Saks.</w:t>
      </w:r>
    </w:p>
    <w:p>
      <w:pPr>
        <w:pStyle w:val="Normal"/>
        <w:numPr>
          <w:ilvl w:val="0"/>
          <w:numId w:val="4"/>
        </w:numPr>
        <w:tabs>
          <w:tab w:val="clear" w:pos="720"/>
          <w:tab w:val="left" w:pos="1800" w:leader="none"/>
          <w:tab w:val="left" w:pos="2880" w:leader="none"/>
        </w:tabs>
        <w:spacing w:lineRule="atLeast" w:line="0"/>
        <w:ind w:hanging="360" w:start="2880" w:end="0"/>
        <w:jc w:val="both"/>
        <w:rPr>
          <w:sz w:val="20"/>
        </w:rPr>
      </w:pPr>
      <w:r>
        <w:rPr>
          <w:sz w:val="20"/>
        </w:rPr>
        <w:t>Massachusetts: Allegro Microsystems, Boston Globe, Fidelity, Lucent, Shaw’s Groceries, St. Gobain,  and Texas Instruments,</w:t>
      </w:r>
    </w:p>
    <w:p>
      <w:pPr>
        <w:pStyle w:val="Normal"/>
        <w:numPr>
          <w:ilvl w:val="0"/>
          <w:numId w:val="6"/>
        </w:numPr>
        <w:tabs>
          <w:tab w:val="clear" w:pos="720"/>
          <w:tab w:val="left" w:pos="1800" w:leader="none"/>
          <w:tab w:val="left" w:pos="2880" w:leader="none"/>
        </w:tabs>
        <w:spacing w:lineRule="atLeast" w:line="0"/>
        <w:ind w:hanging="360" w:start="2880" w:end="0"/>
        <w:jc w:val="both"/>
        <w:rPr>
          <w:sz w:val="20"/>
        </w:rPr>
      </w:pPr>
      <w:r>
        <w:rPr>
          <w:sz w:val="20"/>
        </w:rPr>
        <w:t>Texas: Express Foods, Lowe’s Home Improvement, and Sara Lee.</w:t>
      </w:r>
    </w:p>
    <w:p>
      <w:pPr>
        <w:pStyle w:val="Normal"/>
        <w:numPr>
          <w:ilvl w:val="0"/>
          <w:numId w:val="3"/>
        </w:numPr>
        <w:tabs>
          <w:tab w:val="clear" w:pos="720"/>
          <w:tab w:val="left" w:pos="1800" w:leader="none"/>
        </w:tabs>
        <w:spacing w:lineRule="atLeast" w:line="0"/>
        <w:ind w:hanging="360" w:start="1800" w:end="0"/>
        <w:jc w:val="both"/>
        <w:rPr>
          <w:sz w:val="20"/>
        </w:rPr>
      </w:pPr>
      <w:r>
        <w:rPr>
          <w:sz w:val="20"/>
        </w:rPr>
        <w:t>Developed a deal database using Microsoft access that keeps track of all active and closed deals that the Underwriting group prices. This database is also used to inform upper management and other groups of our current deals, and thus enhances communication throughout the organization.</w:t>
      </w:r>
    </w:p>
    <w:p>
      <w:pPr>
        <w:pStyle w:val="Normal"/>
        <w:spacing w:lineRule="atLeast" w:line="0"/>
        <w:jc w:val="both"/>
        <w:rPr>
          <w:sz w:val="20"/>
        </w:rPr>
      </w:pPr>
      <w:r>
        <w:rPr>
          <w:sz w:val="16"/>
        </w:rPr>
        <w:t>July- August 1999</w:t>
      </w:r>
      <w:r>
        <w:rPr>
          <w:sz w:val="20"/>
        </w:rPr>
        <w:tab/>
      </w:r>
      <w:r>
        <w:rPr>
          <w:b/>
          <w:sz w:val="20"/>
        </w:rPr>
        <w:t>TD Evergreen Investment Services, Toronto Dominion Bank, Toronto</w:t>
      </w:r>
    </w:p>
    <w:p>
      <w:pPr>
        <w:pStyle w:val="Normal"/>
        <w:spacing w:lineRule="atLeast" w:line="0"/>
        <w:jc w:val="both"/>
        <w:rPr/>
      </w:pPr>
      <w:r>
        <w:rPr>
          <w:sz w:val="20"/>
        </w:rPr>
        <w:tab/>
        <w:tab/>
      </w:r>
      <w:r>
        <w:rPr>
          <w:b/>
          <w:i/>
          <w:sz w:val="20"/>
        </w:rPr>
        <w:t xml:space="preserve">Research Analyst </w:t>
      </w:r>
    </w:p>
    <w:p>
      <w:pPr>
        <w:pStyle w:val="Normal"/>
        <w:numPr>
          <w:ilvl w:val="0"/>
          <w:numId w:val="3"/>
        </w:numPr>
        <w:tabs>
          <w:tab w:val="clear" w:pos="720"/>
          <w:tab w:val="left" w:pos="1800" w:leader="none"/>
        </w:tabs>
        <w:spacing w:lineRule="atLeast" w:line="0"/>
        <w:ind w:hanging="360" w:start="1800" w:end="0"/>
        <w:jc w:val="both"/>
        <w:rPr>
          <w:sz w:val="20"/>
        </w:rPr>
      </w:pPr>
      <w:r>
        <w:rPr>
          <w:sz w:val="20"/>
        </w:rPr>
        <w:t>Analyzed S&amp;P and TSE 300 Index stocks using quantitative and technical analysis, which enhanced the stock selection of the company’s clients’ portfolios.</w:t>
      </w:r>
    </w:p>
    <w:p>
      <w:pPr>
        <w:pStyle w:val="Normal"/>
        <w:spacing w:lineRule="atLeast" w:line="0"/>
        <w:jc w:val="both"/>
        <w:rPr/>
      </w:pPr>
      <w:r>
        <w:rPr>
          <w:sz w:val="16"/>
        </w:rPr>
        <w:t>January-July 2000</w:t>
      </w:r>
      <w:r>
        <w:rPr>
          <w:sz w:val="20"/>
        </w:rPr>
        <w:tab/>
      </w:r>
      <w:r>
        <w:rPr>
          <w:b/>
          <w:sz w:val="20"/>
        </w:rPr>
        <w:t>KPMG, Santo Domingo, Dominican Republic</w:t>
      </w:r>
    </w:p>
    <w:p>
      <w:pPr>
        <w:pStyle w:val="Normal"/>
        <w:spacing w:lineRule="atLeast" w:line="0"/>
        <w:jc w:val="both"/>
        <w:rPr/>
      </w:pPr>
      <w:r>
        <w:rPr>
          <w:sz w:val="20"/>
        </w:rPr>
        <w:tab/>
        <w:tab/>
      </w:r>
      <w:r>
        <w:rPr>
          <w:b/>
          <w:i/>
          <w:sz w:val="20"/>
        </w:rPr>
        <w:t>Consultant</w:t>
      </w:r>
    </w:p>
    <w:p>
      <w:pPr>
        <w:pStyle w:val="Normal"/>
        <w:spacing w:lineRule="atLeast" w:line="0"/>
        <w:jc w:val="both"/>
        <w:rPr/>
      </w:pPr>
      <w:r>
        <w:rPr>
          <w:b/>
          <w:i/>
          <w:sz w:val="20"/>
        </w:rPr>
        <w:tab/>
        <w:tab/>
      </w:r>
      <w:r>
        <w:rPr>
          <w:sz w:val="20"/>
        </w:rPr>
        <w:t xml:space="preserve">Participated in the creation of the Tricom’s (First Public Dominican Company listed in the NYSE) prospectus. </w:t>
      </w:r>
    </w:p>
    <w:p>
      <w:pPr>
        <w:pStyle w:val="Normal"/>
        <w:spacing w:lineRule="atLeast" w:line="0"/>
        <w:jc w:val="both"/>
        <w:rPr/>
      </w:pPr>
      <w:r>
        <w:rPr>
          <w:sz w:val="16"/>
        </w:rPr>
        <w:t>May- August 1998</w:t>
      </w:r>
      <w:r>
        <w:rPr>
          <w:sz w:val="20"/>
        </w:rPr>
        <w:tab/>
      </w:r>
      <w:r>
        <w:rPr>
          <w:b/>
          <w:sz w:val="20"/>
        </w:rPr>
        <w:t>KPMG,</w:t>
      </w:r>
      <w:r>
        <w:rPr>
          <w:sz w:val="20"/>
        </w:rPr>
        <w:t xml:space="preserve"> </w:t>
      </w:r>
      <w:r>
        <w:rPr>
          <w:b/>
          <w:sz w:val="20"/>
        </w:rPr>
        <w:t>Santo Domingo, Dominican Republic</w:t>
      </w:r>
    </w:p>
    <w:p>
      <w:pPr>
        <w:pStyle w:val="Normal"/>
        <w:spacing w:lineRule="atLeast" w:line="0"/>
        <w:jc w:val="both"/>
        <w:rPr/>
      </w:pPr>
      <w:r>
        <w:rPr>
          <w:b/>
          <w:sz w:val="20"/>
        </w:rPr>
        <w:tab/>
        <w:tab/>
      </w:r>
      <w:r>
        <w:rPr>
          <w:b/>
          <w:i/>
          <w:sz w:val="20"/>
        </w:rPr>
        <w:t>Assistant Auditor</w:t>
      </w:r>
    </w:p>
    <w:p>
      <w:pPr>
        <w:pStyle w:val="Normal"/>
        <w:spacing w:lineRule="atLeast" w:line="0"/>
        <w:ind w:start="1440" w:end="0"/>
        <w:rPr>
          <w:b/>
          <w:i/>
          <w:i/>
          <w:sz w:val="20"/>
        </w:rPr>
      </w:pPr>
      <w:r>
        <w:rPr>
          <w:sz w:val="20"/>
        </w:rPr>
        <w:t>Interacted with clients and cultivated client relationship skills by participating in various audit engagements in the retail and public industries. Gained a strong understanding of Financial Statements.</w:t>
      </w:r>
    </w:p>
    <w:p>
      <w:pPr>
        <w:pStyle w:val="Normal"/>
        <w:spacing w:lineRule="atLeast" w:line="0"/>
        <w:rPr>
          <w:b/>
          <w:i/>
          <w:i/>
          <w:kern w:val="2"/>
          <w:sz w:val="12"/>
        </w:rPr>
      </w:pPr>
      <w:r>
        <w:rPr>
          <w:b/>
          <w:i/>
          <w:kern w:val="2"/>
          <w:sz w:val="12"/>
        </w:rPr>
      </w:r>
    </w:p>
    <w:p>
      <w:pPr>
        <w:pStyle w:val="Heading1"/>
        <w:spacing w:lineRule="atLeast" w:line="0"/>
        <w:ind w:hanging="0" w:start="0"/>
        <w:rPr>
          <w:b w:val="false"/>
          <w:sz w:val="20"/>
        </w:rPr>
      </w:pPr>
      <w:r>
        <w:rPr>
          <w:sz w:val="20"/>
        </w:rPr>
        <w:t>EDUCATION</w:t>
      </w:r>
    </w:p>
    <w:p>
      <w:pPr>
        <w:pStyle w:val="Normal"/>
        <w:spacing w:lineRule="atLeast" w:line="0"/>
        <w:jc w:val="both"/>
        <w:rPr/>
      </w:pPr>
      <w:r>
        <w:rPr>
          <w:sz w:val="16"/>
        </w:rPr>
        <w:t>1997-Dec. 1999</w:t>
      </w:r>
      <w:r>
        <w:rPr>
          <w:sz w:val="20"/>
        </w:rPr>
        <w:tab/>
        <w:t>Bachelor of Commerce, Finance and Economics Concentrations</w:t>
      </w:r>
    </w:p>
    <w:p>
      <w:pPr>
        <w:pStyle w:val="Normal"/>
        <w:spacing w:lineRule="atLeast" w:line="0"/>
        <w:jc w:val="both"/>
        <w:rPr>
          <w:sz w:val="16"/>
        </w:rPr>
      </w:pPr>
      <w:r>
        <w:rPr>
          <w:sz w:val="20"/>
        </w:rPr>
        <w:tab/>
        <w:tab/>
        <w:t>McGill University, Montreal, Quebec</w:t>
      </w:r>
    </w:p>
    <w:p>
      <w:pPr>
        <w:pStyle w:val="Heading1"/>
        <w:spacing w:lineRule="atLeast" w:line="0"/>
        <w:ind w:hanging="0" w:start="0"/>
        <w:jc w:val="both"/>
        <w:rPr>
          <w:b w:val="false"/>
          <w:sz w:val="20"/>
        </w:rPr>
      </w:pPr>
      <w:r>
        <w:rPr>
          <w:sz w:val="20"/>
        </w:rPr>
        <w:t>AWARDS</w:t>
      </w:r>
    </w:p>
    <w:p>
      <w:pPr>
        <w:pStyle w:val="Normal"/>
        <w:spacing w:lineRule="atLeast" w:line="0"/>
        <w:jc w:val="both"/>
        <w:rPr/>
      </w:pPr>
      <w:r>
        <w:rPr>
          <w:sz w:val="16"/>
        </w:rPr>
        <w:t>1997-1999</w:t>
      </w:r>
      <w:r>
        <w:rPr>
          <w:sz w:val="20"/>
        </w:rPr>
        <w:tab/>
        <w:tab/>
        <w:t>Hugh Brock Entrance Scholarship, McGill University</w:t>
      </w:r>
    </w:p>
    <w:p>
      <w:pPr>
        <w:pStyle w:val="Normal"/>
        <w:numPr>
          <w:ilvl w:val="0"/>
          <w:numId w:val="10"/>
        </w:numPr>
        <w:tabs>
          <w:tab w:val="clear" w:pos="720"/>
          <w:tab w:val="left" w:pos="1800" w:leader="none"/>
        </w:tabs>
        <w:spacing w:lineRule="atLeast" w:line="0"/>
        <w:ind w:hanging="360" w:start="1800" w:end="0"/>
        <w:jc w:val="both"/>
        <w:rPr>
          <w:sz w:val="20"/>
        </w:rPr>
      </w:pPr>
      <w:r>
        <w:rPr>
          <w:sz w:val="20"/>
        </w:rPr>
        <w:t>Obtained the best grades in the French Baccalaureate of all French Schools of Latin America.</w:t>
      </w:r>
    </w:p>
    <w:p>
      <w:pPr>
        <w:pStyle w:val="Normal"/>
        <w:spacing w:lineRule="atLeast" w:line="0"/>
        <w:jc w:val="both"/>
        <w:rPr/>
      </w:pPr>
      <w:r>
        <w:rPr>
          <w:sz w:val="16"/>
        </w:rPr>
        <w:t>1997-1999</w:t>
      </w:r>
      <w:r>
        <w:rPr>
          <w:sz w:val="20"/>
        </w:rPr>
        <w:tab/>
        <w:tab/>
        <w:t>Member of The Golden Key National Honor Society</w:t>
      </w:r>
    </w:p>
    <w:p>
      <w:pPr>
        <w:pStyle w:val="Normal"/>
        <w:numPr>
          <w:ilvl w:val="0"/>
          <w:numId w:val="5"/>
        </w:numPr>
        <w:tabs>
          <w:tab w:val="clear" w:pos="720"/>
          <w:tab w:val="left" w:pos="1800" w:leader="none"/>
        </w:tabs>
        <w:spacing w:lineRule="atLeast" w:line="0"/>
        <w:ind w:hanging="360" w:start="1800" w:end="0"/>
        <w:jc w:val="both"/>
        <w:rPr>
          <w:sz w:val="20"/>
        </w:rPr>
      </w:pPr>
      <w:r>
        <w:rPr>
          <w:sz w:val="20"/>
        </w:rPr>
        <w:t>Top 15% of Undergraduates students in the Faculty of Management.</w:t>
      </w:r>
    </w:p>
    <w:p>
      <w:pPr>
        <w:pStyle w:val="Normal"/>
        <w:spacing w:lineRule="atLeast" w:line="0"/>
        <w:ind w:start="1440" w:end="0"/>
        <w:jc w:val="both"/>
        <w:rPr>
          <w:sz w:val="12"/>
        </w:rPr>
      </w:pPr>
      <w:r>
        <w:rPr>
          <w:sz w:val="12"/>
        </w:rPr>
      </w:r>
    </w:p>
    <w:p>
      <w:pPr>
        <w:pStyle w:val="Heading2"/>
        <w:spacing w:lineRule="atLeast" w:line="0"/>
        <w:ind w:hanging="0" w:start="0"/>
        <w:rPr>
          <w:sz w:val="20"/>
        </w:rPr>
      </w:pPr>
      <w:r>
        <w:rPr>
          <w:sz w:val="20"/>
        </w:rPr>
        <w:t>FINANCE RELATED PROJECTS</w:t>
      </w:r>
    </w:p>
    <w:p>
      <w:pPr>
        <w:pStyle w:val="Normal"/>
        <w:spacing w:lineRule="atLeast" w:line="0"/>
        <w:jc w:val="both"/>
        <w:rPr/>
      </w:pPr>
      <w:r>
        <w:rPr>
          <w:sz w:val="20"/>
        </w:rPr>
        <w:t>Jan.- Dec. 1999</w:t>
        <w:tab/>
      </w:r>
      <w:r>
        <w:rPr>
          <w:b/>
          <w:i/>
          <w:sz w:val="20"/>
        </w:rPr>
        <w:t>Portfolio Manager, Applied Investments Course</w:t>
      </w:r>
    </w:p>
    <w:p>
      <w:pPr>
        <w:pStyle w:val="Normal"/>
        <w:spacing w:lineRule="atLeast" w:line="0"/>
        <w:jc w:val="both"/>
        <w:rPr/>
      </w:pPr>
      <w:r>
        <w:rPr>
          <w:b/>
          <w:i/>
          <w:sz w:val="20"/>
        </w:rPr>
        <w:tab/>
        <w:tab/>
      </w:r>
      <w:r>
        <w:rPr>
          <w:sz w:val="20"/>
        </w:rPr>
        <w:t xml:space="preserve">Selected by the faculty of Management to manage a </w:t>
      </w:r>
      <w:r>
        <w:rPr>
          <w:b/>
          <w:sz w:val="20"/>
        </w:rPr>
        <w:t>CDN$150,000</w:t>
      </w:r>
      <w:r>
        <w:rPr>
          <w:sz w:val="20"/>
        </w:rPr>
        <w:t xml:space="preserve"> portfolio in a team of five students.</w:t>
      </w:r>
    </w:p>
    <w:p>
      <w:pPr>
        <w:pStyle w:val="Normal"/>
        <w:spacing w:lineRule="atLeast" w:line="0"/>
        <w:jc w:val="both"/>
        <w:rPr>
          <w:sz w:val="12"/>
        </w:rPr>
      </w:pPr>
      <w:r>
        <w:rPr>
          <w:sz w:val="12"/>
        </w:rPr>
      </w:r>
    </w:p>
    <w:p>
      <w:pPr>
        <w:pStyle w:val="Heading2"/>
        <w:spacing w:lineRule="atLeast" w:line="0"/>
        <w:ind w:hanging="0" w:start="0"/>
        <w:rPr>
          <w:b w:val="false"/>
          <w:sz w:val="20"/>
          <w:u w:val="none"/>
        </w:rPr>
      </w:pPr>
      <w:r>
        <w:rPr>
          <w:sz w:val="20"/>
        </w:rPr>
        <w:t>LEADERSHIP SKILLS</w:t>
      </w:r>
    </w:p>
    <w:p>
      <w:pPr>
        <w:pStyle w:val="Normal"/>
        <w:spacing w:lineRule="atLeast" w:line="0"/>
        <w:jc w:val="both"/>
        <w:rPr/>
      </w:pPr>
      <w:r>
        <w:rPr>
          <w:sz w:val="16"/>
        </w:rPr>
        <w:t>Jan.- March 2001</w:t>
        <w:tab/>
      </w:r>
      <w:r>
        <w:rPr>
          <w:b/>
          <w:i/>
          <w:sz w:val="20"/>
        </w:rPr>
        <w:t>Captain</w:t>
      </w:r>
      <w:r>
        <w:rPr>
          <w:sz w:val="20"/>
        </w:rPr>
        <w:t>, EES Volley Ball Team</w:t>
      </w:r>
    </w:p>
    <w:p>
      <w:pPr>
        <w:pStyle w:val="Normal"/>
        <w:spacing w:lineRule="atLeast" w:line="0"/>
        <w:jc w:val="both"/>
        <w:rPr/>
      </w:pPr>
      <w:r>
        <w:rPr>
          <w:sz w:val="16"/>
        </w:rPr>
        <w:t>December 2000</w:t>
      </w:r>
      <w:r>
        <w:rPr>
          <w:sz w:val="20"/>
        </w:rPr>
        <w:tab/>
      </w:r>
      <w:r>
        <w:rPr>
          <w:b/>
          <w:i/>
          <w:sz w:val="20"/>
        </w:rPr>
        <w:t>Leader</w:t>
      </w:r>
      <w:r>
        <w:rPr>
          <w:sz w:val="20"/>
        </w:rPr>
        <w:t>, Enron Elves</w:t>
      </w:r>
    </w:p>
    <w:p>
      <w:pPr>
        <w:pStyle w:val="Normal"/>
        <w:spacing w:lineRule="atLeast" w:line="0"/>
        <w:ind w:start="-720" w:end="-720"/>
        <w:jc w:val="both"/>
        <w:rPr>
          <w:sz w:val="20"/>
        </w:rPr>
      </w:pPr>
      <w:r>
        <w:rPr>
          <w:sz w:val="20"/>
        </w:rPr>
        <w:tab/>
        <w:tab/>
        <w:tab/>
        <w:t>Led a group of 13 analysts and raised $1,500. Provided food, clothes, and utilities’ payment to a poor family.</w:t>
      </w:r>
    </w:p>
    <w:p>
      <w:pPr>
        <w:pStyle w:val="Normal"/>
        <w:spacing w:lineRule="atLeast" w:line="0"/>
        <w:jc w:val="both"/>
        <w:rPr>
          <w:sz w:val="20"/>
        </w:rPr>
      </w:pPr>
      <w:r>
        <w:rPr>
          <w:sz w:val="16"/>
        </w:rPr>
        <w:t>1994-1996</w:t>
      </w:r>
      <w:r>
        <w:rPr>
          <w:i/>
          <w:sz w:val="20"/>
        </w:rPr>
        <w:tab/>
        <w:tab/>
      </w:r>
      <w:r>
        <w:rPr>
          <w:b/>
          <w:i/>
          <w:sz w:val="20"/>
        </w:rPr>
        <w:t>Captain</w:t>
      </w:r>
      <w:r>
        <w:rPr>
          <w:sz w:val="20"/>
        </w:rPr>
        <w:t xml:space="preserve">, </w:t>
      </w:r>
      <w:r>
        <w:rPr>
          <w:b/>
          <w:sz w:val="20"/>
        </w:rPr>
        <w:t>National Volley Ball Team, Dominican Republic</w:t>
      </w:r>
    </w:p>
    <w:p>
      <w:pPr>
        <w:pStyle w:val="Normal"/>
        <w:spacing w:lineRule="atLeast" w:line="0"/>
        <w:jc w:val="both"/>
        <w:rPr>
          <w:sz w:val="20"/>
        </w:rPr>
      </w:pPr>
      <w:r>
        <w:rPr>
          <w:sz w:val="20"/>
        </w:rPr>
      </w:r>
    </w:p>
    <w:p>
      <w:pPr>
        <w:pStyle w:val="Heading2"/>
        <w:spacing w:lineRule="atLeast" w:line="0"/>
        <w:ind w:hanging="0" w:start="0"/>
        <w:rPr>
          <w:sz w:val="20"/>
        </w:rPr>
      </w:pPr>
      <w:r>
        <w:rPr>
          <w:sz w:val="20"/>
        </w:rPr>
        <w:t>LANGUAGES AND COMPUTER SKILLS</w:t>
      </w:r>
    </w:p>
    <w:p>
      <w:pPr>
        <w:pStyle w:val="Normal"/>
        <w:numPr>
          <w:ilvl w:val="0"/>
          <w:numId w:val="8"/>
        </w:numPr>
        <w:tabs>
          <w:tab w:val="clear" w:pos="720"/>
          <w:tab w:val="left" w:pos="1800" w:leader="none"/>
        </w:tabs>
        <w:spacing w:lineRule="atLeast" w:line="0"/>
        <w:ind w:hanging="360" w:start="1800" w:end="0"/>
        <w:jc w:val="both"/>
        <w:rPr>
          <w:sz w:val="20"/>
        </w:rPr>
      </w:pPr>
      <w:r>
        <w:rPr>
          <w:sz w:val="20"/>
        </w:rPr>
        <w:t>Oral and written fluency in French and Spanish.</w:t>
      </w:r>
    </w:p>
    <w:p>
      <w:pPr>
        <w:pStyle w:val="Normal"/>
        <w:numPr>
          <w:ilvl w:val="0"/>
          <w:numId w:val="8"/>
        </w:numPr>
        <w:tabs>
          <w:tab w:val="clear" w:pos="720"/>
          <w:tab w:val="left" w:pos="1800" w:leader="none"/>
        </w:tabs>
        <w:spacing w:lineRule="atLeast" w:line="0"/>
        <w:ind w:hanging="360" w:start="1800" w:end="0"/>
        <w:jc w:val="both"/>
        <w:rPr>
          <w:sz w:val="20"/>
        </w:rPr>
      </w:pPr>
      <w:r>
        <w:rPr>
          <w:sz w:val="20"/>
        </w:rPr>
        <w:t>Microsoft Word, Excel, Access, Visual Basics, and PowerPoint.</w:t>
      </w:r>
    </w:p>
    <w:p>
      <w:pPr>
        <w:pStyle w:val="Normal"/>
        <w:spacing w:lineRule="atLeast" w:line="0"/>
        <w:ind w:start="1440" w:end="0"/>
        <w:jc w:val="both"/>
        <w:rPr>
          <w:sz w:val="12"/>
        </w:rPr>
      </w:pPr>
      <w:r>
        <w:rPr>
          <w:sz w:val="12"/>
        </w:rPr>
      </w:r>
    </w:p>
    <w:p>
      <w:pPr>
        <w:pStyle w:val="Heading2"/>
        <w:spacing w:lineRule="atLeast" w:line="0"/>
        <w:ind w:hanging="0" w:start="0"/>
        <w:rPr>
          <w:sz w:val="20"/>
        </w:rPr>
      </w:pPr>
      <w:r>
        <w:rPr>
          <w:sz w:val="20"/>
        </w:rPr>
        <w:t>TRAINING CLASSES</w:t>
      </w:r>
    </w:p>
    <w:p>
      <w:pPr>
        <w:pStyle w:val="Normal"/>
        <w:numPr>
          <w:ilvl w:val="0"/>
          <w:numId w:val="9"/>
        </w:numPr>
        <w:tabs>
          <w:tab w:val="clear" w:pos="720"/>
          <w:tab w:val="left" w:pos="1800" w:leader="none"/>
        </w:tabs>
        <w:spacing w:lineRule="atLeast" w:line="0"/>
        <w:ind w:hanging="360" w:start="1800" w:end="0"/>
        <w:jc w:val="both"/>
        <w:rPr>
          <w:sz w:val="20"/>
        </w:rPr>
      </w:pPr>
      <w:r>
        <w:rPr>
          <w:sz w:val="20"/>
        </w:rPr>
        <w:t>Introduction to Corporate Finance, Applied Finance, Derivatives and Risk Management Seminars for EES, Applied Energy Derivatives I, Deal Structuring in Power Markets, Names and Database Features, and Visual Basics.</w:t>
        <w:tab/>
        <w:t xml:space="preserve"> </w:t>
      </w:r>
    </w:p>
    <w:sectPr>
      <w:type w:val="nextPage"/>
      <w:pgSz w:w="12240" w:h="15840"/>
      <w:pgMar w:left="720" w:right="540" w:gutter="0" w:header="0" w:top="360" w:footer="0" w:bottom="1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800"/>
        </w:tabs>
        <w:ind w:start="1800" w:hanging="360"/>
      </w:pPr>
      <w:rPr>
        <w:rFonts w:ascii="Symbol" w:hAnsi="Symbol" w:cs="Symbol" w:hint="default"/>
      </w:rPr>
    </w:lvl>
  </w:abstractNum>
  <w:abstractNum w:abstractNumId="3">
    <w:lvl w:ilvl="0">
      <w:start w:val="1"/>
      <w:numFmt w:val="bullet"/>
      <w:lvlText w:val=""/>
      <w:lvlJc w:val="start"/>
      <w:pPr>
        <w:tabs>
          <w:tab w:val="num" w:pos="2160"/>
        </w:tabs>
        <w:ind w:start="21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2160"/>
        </w:tabs>
        <w:ind w:start="21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2160"/>
        </w:tabs>
        <w:ind w:start="2160" w:hanging="360"/>
      </w:pPr>
      <w:rPr>
        <w:rFonts w:ascii="Symbol" w:hAnsi="Symbol" w:cs="Symbol" w:hint="default"/>
      </w:rPr>
    </w:lvl>
  </w:abstractNum>
  <w:abstractNum w:abstractNumId="9">
    <w:lvl w:ilvl="0">
      <w:start w:val="1"/>
      <w:numFmt w:val="bullet"/>
      <w:lvlText w:val=""/>
      <w:lvlJc w:val="start"/>
      <w:pPr>
        <w:tabs>
          <w:tab w:val="num" w:pos="2160"/>
        </w:tabs>
        <w:ind w:start="2160" w:hanging="360"/>
      </w:pPr>
      <w:rPr>
        <w:rFonts w:ascii="Symbol" w:hAnsi="Symbol" w:cs="Symbol" w:hint="default"/>
      </w:rPr>
    </w:lvl>
  </w:abstractNum>
  <w:abstractNum w:abstractNumId="10">
    <w:lvl w:ilvl="0">
      <w:start w:val="1"/>
      <w:numFmt w:val="bullet"/>
      <w:lvlText w:val=""/>
      <w:lvlJc w:val="start"/>
      <w:pPr>
        <w:tabs>
          <w:tab w:val="num" w:pos="2160"/>
        </w:tabs>
        <w:ind w:start="21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16"/>
      <w:u w:val="single"/>
    </w:rPr>
  </w:style>
  <w:style w:type="paragraph" w:styleId="Heading2">
    <w:name w:val="heading 2"/>
    <w:basedOn w:val="Normal"/>
    <w:next w:val="Normal"/>
    <w:qFormat/>
    <w:pPr>
      <w:keepNext w:val="true"/>
      <w:numPr>
        <w:ilvl w:val="1"/>
        <w:numId w:val="1"/>
      </w:numPr>
      <w:jc w:val="both"/>
      <w:outlineLvl w:val="1"/>
    </w:pPr>
    <w:rPr>
      <w:b/>
      <w:bCs/>
      <w:sz w:val="16"/>
      <w:u w:val="single"/>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5">
    <w:name w:val="WW8Num7z5"/>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bCs/>
      <w:i/>
      <w:i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isselle.rohmer@enro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2001-05-09T20:18:00Z</dcterms:created>
  <dc:creator>Giselle Rohmer</dc:creator>
  <dc:description/>
  <dc:language>en-CA</dc:language>
  <cp:lastModifiedBy>ljones3</cp:lastModifiedBy>
  <cp:lastPrinted>2001-05-09T17:48:00Z</cp:lastPrinted>
  <dcterms:modified xsi:type="dcterms:W3CDTF">2001-05-09T20:18:00Z</dcterms:modified>
  <cp:revision>2</cp:revision>
  <dc:subject/>
  <dc:title>GISSELLE ROHMER</dc:title>
</cp:coreProperties>
</file>