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dated July 1, 2001</w:t>
      </w:r>
    </w:p>
    <w:p>
      <w:pPr>
        <w:pStyle w:val="Normal"/>
        <w:jc w:val="center"/>
        <w:rPr>
          <w:b/>
          <w:sz w:val="20"/>
        </w:rPr>
      </w:pPr>
      <w:r>
        <w:rPr>
          <w:b/>
          <w:sz w:val="20"/>
        </w:rPr>
      </w:r>
    </w:p>
    <w:p>
      <w:pPr>
        <w:pStyle w:val="Normal"/>
        <w:jc w:val="center"/>
        <w:rPr>
          <w:b/>
          <w:sz w:val="20"/>
        </w:rPr>
      </w:pPr>
      <w:r>
        <w:rPr>
          <w:b/>
          <w:sz w:val="20"/>
        </w:rPr>
        <w:t>by and between</w:t>
      </w:r>
    </w:p>
    <w:p>
      <w:pPr>
        <w:pStyle w:val="Normal"/>
        <w:jc w:val="center"/>
        <w:rPr>
          <w:b/>
          <w:sz w:val="20"/>
        </w:rPr>
      </w:pPr>
      <w:r>
        <w:rPr>
          <w:b/>
          <w:sz w:val="20"/>
        </w:rPr>
        <w:t>BP Energy Company (“BPEC”)</w:t>
      </w:r>
    </w:p>
    <w:p>
      <w:pPr>
        <w:pStyle w:val="Normal"/>
        <w:jc w:val="center"/>
        <w:rPr>
          <w:b/>
          <w:sz w:val="20"/>
        </w:rPr>
      </w:pPr>
      <w:r>
        <w:rPr>
          <w:b/>
          <w:sz w:val="20"/>
        </w:rPr>
        <w:t>and</w:t>
      </w:r>
    </w:p>
    <w:p>
      <w:pPr>
        <w:pStyle w:val="Heading2"/>
        <w:ind w:hanging="0" w:start="0"/>
        <w:rPr>
          <w:u w:val="single"/>
        </w:rPr>
      </w:pPr>
      <w:r>
        <w:rPr>
          <w:u w:val="single"/>
        </w:rPr>
        <w:t>________________________</w:t>
      </w:r>
    </w:p>
    <w:p>
      <w:pPr>
        <w:pStyle w:val="Normal"/>
        <w:jc w:val="center"/>
        <w:rPr>
          <w:u w:val="single"/>
        </w:rPr>
      </w:pPr>
      <w:r>
        <w:rPr>
          <w:u w:val="single"/>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pPr>
      <w:r>
        <w:rPr>
          <w:sz w:val="20"/>
        </w:rPr>
        <w:t>2.</w:t>
        <w:tab/>
      </w:r>
      <w:r>
        <w:rPr>
          <w:sz w:val="20"/>
          <w:u w:val="single"/>
        </w:rPr>
        <w:t>The following provisions shall be added as Section 3.3</w:t>
      </w:r>
      <w:r>
        <w:rPr>
          <w:sz w:val="20"/>
        </w:rPr>
        <w:t>:</w:t>
      </w:r>
    </w:p>
    <w:p>
      <w:pPr>
        <w:pStyle w:val="Normal"/>
        <w:overflowPunct w:val="true"/>
        <w:ind w:end="720"/>
        <w:jc w:val="both"/>
        <w:textAlignment w:val="auto"/>
        <w:rPr>
          <w:sz w:val="20"/>
        </w:rPr>
      </w:pPr>
      <w:r>
        <w:rPr>
          <w:sz w:val="20"/>
        </w:rPr>
      </w:r>
    </w:p>
    <w:p>
      <w:pPr>
        <w:pStyle w:val="Normal"/>
        <w:tabs>
          <w:tab w:val="clear" w:pos="720"/>
          <w:tab w:val="left" w:pos="1440" w:leader="none"/>
        </w:tabs>
        <w:overflowPunct w:val="true"/>
        <w:ind w:hanging="1440" w:start="2160" w:end="720"/>
        <w:jc w:val="both"/>
        <w:textAlignment w:val="auto"/>
        <w:rPr/>
      </w:pPr>
      <w:r>
        <w:rPr>
          <w:sz w:val="20"/>
        </w:rPr>
        <w:t>3.3.</w:t>
        <w:tab/>
        <w:t>(i)</w:t>
        <w:tab/>
      </w:r>
      <w:r>
        <w:rPr>
          <w:color w:val="000000"/>
          <w:sz w:val="20"/>
        </w:rPr>
        <w:t>Notwithstanding anything to the contrary in this Contract (including, without limitation, anything in Section 11 of this Contract), in the event (a) Seller is unable to sell and deliver the Contract Quantity as a result of an event of Force Majeure, and (b) the Contract Price is a fixed price, Seller shall pay Buyer for each MMBtu of gas not delivered as provided in Section 3.2 above.</w:t>
      </w:r>
    </w:p>
    <w:p>
      <w:pPr>
        <w:pStyle w:val="Normal"/>
        <w:overflowPunct w:val="true"/>
        <w:ind w:end="720"/>
        <w:jc w:val="both"/>
        <w:textAlignment w:val="auto"/>
        <w:rPr>
          <w:color w:val="000000"/>
          <w:sz w:val="20"/>
        </w:rPr>
      </w:pPr>
      <w:r>
        <w:rPr>
          <w:color w:val="000000"/>
          <w:sz w:val="20"/>
        </w:rPr>
      </w:r>
    </w:p>
    <w:p>
      <w:pPr>
        <w:pStyle w:val="Normal"/>
        <w:tabs>
          <w:tab w:val="clear" w:pos="720"/>
          <w:tab w:val="left" w:pos="1440" w:leader="none"/>
        </w:tabs>
        <w:overflowPunct w:val="true"/>
        <w:ind w:hanging="1440" w:start="2160" w:end="720"/>
        <w:jc w:val="both"/>
        <w:textAlignment w:val="auto"/>
        <w:rPr/>
      </w:pPr>
      <w:r>
        <w:rPr>
          <w:sz w:val="20"/>
        </w:rPr>
        <w:tab/>
        <w:t>(ii)</w:t>
        <w:tab/>
        <w:t xml:space="preserve">Notwithstanding anything to the contrary in this Contract (including, without limitation, anything in Section 11 of this Contract), in the event (a) Buyer is unable to purchase and receive the Contract Quantity as a result of </w:t>
      </w:r>
      <w:r>
        <w:rPr>
          <w:color w:val="000000"/>
          <w:sz w:val="20"/>
        </w:rPr>
        <w:t>an</w:t>
      </w:r>
      <w:r>
        <w:rPr>
          <w:sz w:val="20"/>
        </w:rPr>
        <w:t xml:space="preserve"> event of Force Majeure, and (b) the Contract Price is a fixed price, Buyer shall pay Seller for each MMBtu of gas not purchased and received as provided in Section 3.2 above.</w:t>
      </w:r>
    </w:p>
    <w:p>
      <w:pPr>
        <w:pStyle w:val="Normal"/>
        <w:rPr>
          <w:sz w:val="20"/>
        </w:rPr>
      </w:pPr>
      <w:r>
        <w:rPr>
          <w:sz w:val="20"/>
        </w:rPr>
      </w:r>
    </w:p>
    <w:p>
      <w:pPr>
        <w:pStyle w:val="Heading1"/>
        <w:ind w:hanging="0" w:start="0"/>
        <w:rPr/>
      </w:pPr>
      <w:r>
        <w:rPr>
          <w:rFonts w:cs="Times New Roman" w:ascii="Times New Roman" w:hAnsi="Times New Roman"/>
          <w:sz w:val="20"/>
          <w:u w:val="none"/>
        </w:rPr>
        <w:t>3.</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4.</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pPr>
      <w:r>
        <w:rPr>
          <w:rFonts w:cs="Times New Roman" w:ascii="Times New Roman" w:hAnsi="Times New Roman"/>
          <w:sz w:val="20"/>
        </w:rPr>
        <w:t>5.</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s>
        <w:spacing w:before="0" w:after="0"/>
        <w:ind w:start="720" w:end="720"/>
        <w:jc w:val="both"/>
        <w:rPr/>
      </w:pPr>
      <w:r>
        <w:rPr>
          <w:kern w:val="0"/>
        </w:rPr>
        <w:t xml:space="preserve">10.1  When reasonable grounds for insecurity of payment or title to the Gas arise,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6.</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sz w:val="20"/>
        </w:rPr>
      </w:pPr>
      <w:r>
        <w:rPr>
          <w:sz w:val="20"/>
        </w:rPr>
        <w:tab/>
        <w:t xml:space="preserve">10.3  If an Early Termination Date has been declared or deemed to have been declared, as the case may be, Requesting Party shall have the right to liquidate any or 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 xml:space="preserve">(b) discounting each amount then due under clause 10.3(a) above to present value in a commercially reasonable manner as at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7.</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and financial consultants;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sz w:val="20"/>
        </w:rPr>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BP (8-7-01)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2001-10-08T12:53:00Z</dcterms:created>
  <dc:creator>Tim Miller</dc:creator>
  <dc:description/>
  <dc:language>en-CA</dc:language>
  <cp:lastModifiedBy>Digital Business Client User</cp:lastModifiedBy>
  <cp:lastPrinted>2001-07-17T09:08:00Z</cp:lastPrinted>
  <dcterms:modified xsi:type="dcterms:W3CDTF">2001-10-08T12:53:00Z</dcterms:modified>
  <cp:revision>3</cp:revision>
  <dc:subject/>
  <dc:title>Special Exceptions to GISB</dc:title>
</cp:coreProperties>
</file>