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smallCaps/>
        </w:rPr>
      </w:pPr>
      <w:r>
        <w:rPr/>
        <w:t>SPECIAL PROVISIONS AMENDMENT</w:t>
      </w:r>
    </w:p>
    <w:p>
      <w:pPr>
        <w:pStyle w:val="Normal"/>
        <w:widowContro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ATTACHED TO AND MADE A PART OF THE</w:t>
      </w:r>
    </w:p>
    <w:p>
      <w:pPr>
        <w:pStyle w:val="Normal"/>
        <w:widowContro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BASE CONTRACT FOR SHORT-TERM</w:t>
      </w:r>
    </w:p>
    <w:p>
      <w:pPr>
        <w:pStyle w:val="Norma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SALE AND PURCHASE OF NATURAL GAS</w:t>
      </w:r>
    </w:p>
    <w:p>
      <w:pPr>
        <w:pStyle w:val="Norma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BY AND BETWEEN</w:t>
      </w:r>
    </w:p>
    <w:p>
      <w:pPr>
        <w:pStyle w:val="Norma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smallCaps/>
        </w:rPr>
      </w:pPr>
      <w:r>
        <w:rPr>
          <w:smallCaps/>
        </w:rPr>
        <w:t>TXU FUEL COMPANY</w:t>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AND</w:t>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______________________________________________</w:t>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DATED __/__/200_</w:t>
      </w:r>
    </w:p>
    <w:p>
      <w:pPr>
        <w:pStyle w:val="Norma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left" w:pos="-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744" w:start="-144"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left" w:pos="-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744" w:start="-144"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5" w:leader="none"/>
          <w:tab w:val="left" w:pos="727" w:leader="none"/>
          <w:tab w:val="left" w:pos="4469" w:leader="none"/>
          <w:tab w:val="left" w:pos="5189" w:leader="none"/>
          <w:tab w:val="left" w:pos="5909" w:leader="none"/>
          <w:tab w:val="left" w:pos="6629" w:leader="none"/>
          <w:tab w:val="left" w:pos="7349" w:leader="none"/>
          <w:tab w:val="left" w:pos="8069" w:leader="none"/>
          <w:tab w:val="left" w:pos="8789" w:leader="none"/>
        </w:tabs>
        <w:ind w:firstLine="722" w:start="5" w:end="0"/>
        <w:jc w:val="both"/>
        <w:rPr/>
      </w:pPr>
      <w:r>
        <w:rPr/>
        <w:t>The Parties hereby amend the General Terms and Conditions of the Base Contract as follows:</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5" w:leader="none"/>
          <w:tab w:val="left" w:pos="727" w:leader="none"/>
          <w:tab w:val="left" w:pos="4469" w:leader="none"/>
          <w:tab w:val="left" w:pos="5189" w:leader="none"/>
          <w:tab w:val="left" w:pos="5909" w:leader="none"/>
          <w:tab w:val="left" w:pos="6629" w:leader="none"/>
          <w:tab w:val="left" w:pos="7349" w:leader="none"/>
          <w:tab w:val="left" w:pos="8069" w:leader="none"/>
          <w:tab w:val="left" w:pos="8789" w:leader="none"/>
        </w:tabs>
        <w:ind w:firstLine="31" w:start="5" w:end="0"/>
        <w:jc w:val="both"/>
        <w:rPr/>
      </w:pPr>
      <w:r>
        <w:rPr/>
      </w:r>
    </w:p>
    <w:p>
      <w:pPr>
        <w:pStyle w:val="Normal"/>
        <w:widowControl/>
        <w:numPr>
          <w:ilvl w:val="0"/>
          <w:numId w:val="3"/>
        </w:numPr>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4469" w:leader="none"/>
          <w:tab w:val="left" w:pos="5189" w:leader="none"/>
          <w:tab w:val="left" w:pos="5909" w:leader="none"/>
          <w:tab w:val="left" w:pos="6629" w:leader="none"/>
          <w:tab w:val="left" w:pos="7349" w:leader="none"/>
          <w:tab w:val="left" w:pos="8069" w:leader="none"/>
          <w:tab w:val="left" w:pos="8789" w:leader="none"/>
        </w:tabs>
        <w:jc w:val="both"/>
        <w:rPr/>
      </w:pPr>
      <w:r>
        <w:rPr/>
        <w:t>Section 2.15 - Definition of "firm"</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707" w:end="0"/>
        <w:jc w:val="both"/>
        <w:rPr/>
      </w:pPr>
      <w:r>
        <w:rPr/>
        <w:t>Section 2.15 is deleted and is replaced with the following: "'Firm' means that either party may interrupt its performance without liability only to the extent that such performance is prevented for reasons of Force Majeure or the other party's nonperformance."</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hanging="703" w:start="708" w:end="0"/>
        <w:jc w:val="both"/>
        <w:rPr/>
      </w:pPr>
      <w:r>
        <w:rPr/>
        <w:t>2.</w:t>
        <w:tab/>
        <w:t>Section 2.22 - Definition of "Receiving Transporter"</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707" w:end="0"/>
        <w:jc w:val="both"/>
        <w:rPr/>
      </w:pPr>
      <w:r>
        <w:rPr/>
        <w:t>The definition of "Receiving Transporter" in Section 2.22 is deleted and is replaced by the following: "'Receiving Transporter' means TXU Fuel Company or its agent receiving Gas at a Delivery Point."</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3.</w:t>
        <w:tab/>
        <w:t>Section 3.3 - Damages Waiver</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Section 3.3 is deleted in is replaced by the following:  "THE PARTIES HEREBY WAIVE ALL CONSEQUENTIAL DAMAGES, EXCEPT WHEN THOSE DAMAGES ARISE OUT OF A BREACH OF THE QUALITY PROVISIONS OF SECTION 5 OR THE FIRST SALE WARRANTY IN SECTION 8, OR WHEN THOSE DAMAGES WOULD OTHERWISE BE RECOVERABLE UNDER THE INDEMNITIES CONTAINED IN THIS AGREEMENT.  MOREOVER, THE PARTIES HEREBY WAIVE ALL PUNITIVE AND EXEMPLARY DAMAGES."</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r>
    </w:p>
    <w:p>
      <w:pPr>
        <w:pStyle w:val="Normal"/>
        <w:numPr>
          <w:ilvl w:val="0"/>
          <w:numId w:val="4"/>
        </w:numPr>
        <w:pBdr>
          <w:top w:val="single" w:sz="6" w:space="0" w:color="FFFFFF"/>
          <w:left w:val="single" w:sz="6" w:space="0" w:color="FFFFFF"/>
          <w:bottom w:val="single" w:sz="6" w:space="0" w:color="FFFFFF"/>
          <w:right w:val="single" w:sz="6" w:space="0" w:color="FFFFFF"/>
        </w:pBdr>
        <w:shd w:fill="FFFFFF" w:val="clear"/>
        <w:tabs>
          <w:tab w:val="clear" w:pos="720"/>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Section 7.1 - Billing, Payment and Audit</w:t>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t>The first sentence of Section 7.1 is deleted and is replaced by the following: "On or before the 15th day of each Month, Seller will invoice Buyer for Gas delivered and received in the preceding Month and for any applicable charges, providing supporting documentation acceptable in industry practice to support the amount charged."</w:t>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r>
    </w:p>
    <w:p>
      <w:pPr>
        <w:pStyle w:val="Normal"/>
        <w:numPr>
          <w:ilvl w:val="0"/>
          <w:numId w:val="4"/>
        </w:numPr>
        <w:pBdr>
          <w:top w:val="single" w:sz="6" w:space="0" w:color="FFFFFF"/>
          <w:left w:val="single" w:sz="6" w:space="0" w:color="FFFFFF"/>
          <w:bottom w:val="single" w:sz="6" w:space="0" w:color="FFFFFF"/>
          <w:right w:val="single" w:sz="6" w:space="0" w:color="FFFFFF"/>
        </w:pBdr>
        <w:shd w:fill="FFFFFF" w:val="clear"/>
        <w:tabs>
          <w:tab w:val="clear" w:pos="720"/>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Section 7.2 - Billing, Payment and Audit</w:t>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t>The first sentence of Section 7.2 is deleted and is replaced by the following: "</w:t>
      </w:r>
      <w:r>
        <w:rPr>
          <w:spacing w:val="-6"/>
        </w:rPr>
        <w:t xml:space="preserve"> Buyer will remit the amount due in the manner specified in the Base Contract, on or before the later of the Payment Date or 10 days after receipt of the invoice by Buyer; provided that if the Payment Date is not a Business Day, payment is due on the next Business Day following that date.</w:t>
      </w:r>
      <w:r>
        <w:rPr/>
        <w:t>"</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6.</w:t>
        <w:tab/>
        <w:t>Section 7.5 - Billing, Payment and Audit</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The following is added as Section 7.5:  "7.5</w:t>
        <w:tab/>
        <w:t>If Buyer and Seller are each required to pay an amount under the terms of the Agreement in the same Month, then such amounts, with respect to each party, will be aggregated and the parties will discharge their obligations to pay through netting, and the party owing the greater aggregate amount will pay to the other party the difference between the amounts owed."</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 xml:space="preserve">7.    </w:t>
        <w:tab/>
        <w:t>Section 8.3 - Title, Warranty and Indemnity</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1"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Section 8.3 is deleted and is replaced with the following:  "Seller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to gas passes to Buyer, except to the extent caused by the sole or concurrent negligence or fault of Buyer or its agents.  Buyer agrees to indemnify Seller and save it harmless from all Claims, from any and all persons, arising from or out of claims regarding payment, personal injury or property damage from said Gas or other charges thereon which attach after title passes to Buyer, except to the extent caused by the sole or concurrent negligence or fault of Seller or its agents."</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8.</w:t>
        <w:tab/>
        <w:t>Section 8.5 - First Sale Warranty</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sectPr>
          <w:footerReference w:type="default" r:id="rId2"/>
          <w:type w:val="nextPage"/>
          <w:pgSz w:w="12240" w:h="15840"/>
          <w:pgMar w:left="1440" w:right="1440" w:gutter="0" w:header="0" w:top="810" w:footer="705" w:bottom="761"/>
          <w:pgNumType w:fmt="decimal"/>
          <w:formProt w:val="false"/>
          <w:textDirection w:val="lrTb"/>
          <w:docGrid w:type="default" w:linePitch="360" w:charSpace="0"/>
        </w:sectPr>
      </w:pPr>
    </w:p>
    <w:p>
      <w:pPr>
        <w:pStyle w:val="Normal"/>
        <w:ind w:start="720" w:end="0"/>
        <w:jc w:val="both"/>
        <w:rPr/>
      </w:pPr>
      <w:r>
        <w:rPr/>
        <w:t>The following is added as Section 8.5:   "8.5</w:t>
        <w:tab/>
        <w:t>Seller hereby expressly covenants and warrants that any sale by Seller hereunder will constitute a 'first sale' as defined in the Natural Gas Policy Act ('NGPA') and the rules and regulations thereunder.  Buyer shall have the right, at any time whatsoever, to demand and receive from Seller, in writing and in a form that is acceptable to Buyer in its sole discretion and opinion, any and all assurances as to whether the sales under this Contract qualify as a 'first sale' under the NGPA and the rules and regulations thereunder.  However, Buyer's review and acceptance of any such assurances shall not in any way preclude, limit or reduce Buyer's remedies for any breach of any covenant or warranty contained in this Contract.  Additionally, Buyer in its sole discretion and opinion, may refuse to commence or suspend the purchase of natural gas under this Contract, without liability of any kind whatsoever, until such time as Buyer has determined, in its sole discretion and opinion, that such purchases do qualify as a 'first sale' under the NGPA and the rules and regulations thereunder.  Seller also expressly covenants and warrants that each transportation service provided prior to the Delivery Point hereunder shall be performed exclusively pursuant to Section 311(a) of the NGPA."</w:t>
      </w:r>
    </w:p>
    <w:p>
      <w:pPr>
        <w:pStyle w:val="Normal"/>
        <w:ind w:start="720" w:end="0"/>
        <w:jc w:val="both"/>
        <w:rPr/>
      </w:pPr>
      <w:r>
        <w:rPr/>
      </w:r>
    </w:p>
    <w:p>
      <w:pPr>
        <w:pStyle w:val="Normal"/>
        <w:widowControl/>
        <w:numPr>
          <w:ilvl w:val="0"/>
          <w:numId w:val="2"/>
        </w:numPr>
        <w:pBdr>
          <w:top w:val="single" w:sz="6" w:space="0" w:color="FFFFFF"/>
          <w:left w:val="single" w:sz="6" w:space="0" w:color="FFFFFF"/>
          <w:bottom w:val="single" w:sz="6" w:space="0" w:color="FFFFFF"/>
          <w:right w:val="single" w:sz="6" w:space="0" w:color="FFFFFF"/>
        </w:pBdr>
        <w:shd w:fill="FFFFFF" w:val="clear"/>
        <w:tabs>
          <w:tab w:val="left" w:pos="-21" w:leader="none"/>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Section 9.3 - Notices</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t>The last sentence of Section 9.3 is deleted and replaced by the following: "Notices and payments sent via first class mail will be considered delivered when placed in the United States mail, postage pre-paid."</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10.</w:t>
        <w:tab/>
        <w:t>Section 10.1 - Financial Responsibility</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Section 10.1 is deleted in its entirety.</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t>11.</w:t>
        <w:tab/>
        <w:t>Section 11.1 - Force Majeure</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firstLine="8" w:start="712" w:end="0"/>
        <w:jc w:val="both"/>
        <w:rPr/>
      </w:pPr>
      <w:r>
        <w:rPr/>
        <w:t>The definition of "Force Majeure" in Section 11.1 is deleted and is replaced by the following: "'Force Majeure' as employed herein means any cause not reasonably within the control of the party claiming suspension, or any cause resulting from the routine maintenance of pipeline facilities, as further defined in Section 11.2."</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12.</w:t>
        <w:tab/>
        <w:t>Section 11.3 - Force Majeure</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rFonts w:ascii="WP TypographicSymbols" w:hAnsi="WP TypographicSymbols" w:cs="WP TypographicSymbols"/>
        </w:rPr>
      </w:pPr>
      <w:r>
        <w:rPr/>
        <w:t>The text contained in Section 11.3 is deleted and is replaced with the following: "The term Force Majeure specifically excludes the following occurrences or events:  (i) the loss, interruption or curtailment of interruptible transportation service necessary to effect receipt or delivery of Gas hereunder, unless the same event also curtails firm transportation at the Delivery Point; (ii) loss of markets; (iii) failure of specific, individual wells or appurtenant facilities in the absence of a Force Majeure event affecting other wells and/or facilities over a broad geographic area; (iv) the party claiming excuse failing to remedy the condition and to resume the performance of such covenants or obligations with reasonable dispatch; or (v) economic hardship. The party claiming Force Majeure will not be excused from its responsibility for Imbalance Charges."</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rFonts w:ascii="WP TypographicSymbols" w:hAnsi="WP TypographicSymbols" w:cs="WP TypographicSymbols"/>
        </w:rPr>
      </w:pPr>
      <w:r>
        <w:rPr>
          <w:rFonts w:cs="WP TypographicSymbols" w:ascii="WP TypographicSymbols" w:hAnsi="WP TypographicSymbols"/>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t>13.</w:t>
        <w:tab/>
        <w:t>Exhibit A - Transaction Confirmation</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firstLine="8" w:start="712" w:end="0"/>
        <w:jc w:val="both"/>
        <w:rPr/>
      </w:pPr>
      <w:r>
        <w:rPr/>
        <w:t xml:space="preserve">Exhibit A is deleted in its entirety and is replaced by the Exhibit A attached to this Special Provisions Amendment. </w:t>
      </w:r>
    </w:p>
    <w:p>
      <w:pPr>
        <w:pStyle w:val="p9"/>
        <w:pBdr>
          <w:top w:val="single" w:sz="6" w:space="0" w:color="FFFFFF"/>
          <w:left w:val="single" w:sz="6" w:space="0" w:color="FFFFFF"/>
          <w:bottom w:val="single" w:sz="6" w:space="0" w:color="FFFFFF"/>
          <w:right w:val="single" w:sz="6" w:space="0" w:color="FFFFFF"/>
        </w:pBdr>
        <w:shd w:fill="FFFFFF" w:val="clear"/>
        <w:tabs>
          <w:tab w:val="clear" w:pos="0"/>
          <w:tab w:val="clear" w:pos="1500"/>
          <w:tab w:val="clear" w:pos="2160"/>
          <w:tab w:val="clear" w:pos="2880"/>
          <w:tab w:val="clear" w:pos="3600"/>
          <w:tab w:val="clear" w:pos="4320"/>
          <w:tab w:val="clear" w:pos="5040"/>
          <w:tab w:val="clear" w:pos="5760"/>
          <w:tab w:val="clear" w:pos="6480"/>
          <w:tab w:val="clear" w:pos="7200"/>
          <w:tab w:val="clear" w:pos="7920"/>
          <w:tab w:val="clear" w:pos="8640"/>
          <w:tab w:val="left" w:pos="-210" w:leader="none"/>
          <w:tab w:val="left" w:pos="4474" w:leader="none"/>
          <w:tab w:val="left" w:pos="5194" w:leader="none"/>
          <w:tab w:val="left" w:pos="5914" w:leader="none"/>
          <w:tab w:val="left" w:pos="6634" w:leader="none"/>
          <w:tab w:val="left" w:pos="7354" w:leader="none"/>
          <w:tab w:val="left" w:pos="8074" w:leader="none"/>
          <w:tab w:val="left" w:pos="8794" w:leader="none"/>
        </w:tabs>
        <w:spacing w:lineRule="auto" w:line="240"/>
        <w:ind w:start="4474" w:end="0"/>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firstLine="712" w:start="10" w:end="0"/>
        <w:jc w:val="both"/>
        <w:rPr/>
      </w:pPr>
      <w:r>
        <w:rPr/>
        <w:t>Except as specifically amended herein, all terms and conditions of the Contract will remain in full force and effect.</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hanging="4465" w:start="4475" w:end="0"/>
        <w:jc w:val="both"/>
        <w:rPr/>
      </w:pPr>
      <w:r>
        <w:rPr/>
        <w:t>TXU FUEL COMPANY</w:t>
        <w:tab/>
        <w:t>_________________________________</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t>Name: ________________________</w:t>
        <w:tab/>
        <w:t>Name: ___________________________</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hanging="4465" w:start="4475" w:end="0"/>
        <w:jc w:val="both"/>
        <w:rPr/>
      </w:pPr>
      <w:r>
        <w:rPr/>
        <w:t xml:space="preserve">Title: _________________________ </w:t>
        <w:tab/>
        <w:t>Title: ____________________________</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t>Date: _________________________</w:t>
        <w:tab/>
        <w:t>Date:_____________________________</w:t>
      </w:r>
      <w:r>
        <w:br w:type="page"/>
      </w:r>
    </w:p>
    <w:p>
      <w:pPr>
        <w:pStyle w:val="Heading1"/>
        <w:ind w:hanging="0" w:start="0"/>
        <w:rPr/>
      </w:pPr>
      <w:r>
        <w:rPr/>
        <w:t>Exhibit A</w:t>
      </w:r>
    </w:p>
    <w:p>
      <w:pPr>
        <w:pStyle w:val="Heading1"/>
        <w:ind w:hanging="0" w:start="0"/>
        <w:rPr/>
      </w:pPr>
      <w:r>
        <w:rPr/>
        <w:t>To</w:t>
      </w:r>
    </w:p>
    <w:p>
      <w:pPr>
        <w:pStyle w:val="Heading1"/>
        <w:ind w:hanging="0" w:start="0"/>
        <w:rPr>
          <w:color w:val="000000"/>
        </w:rPr>
      </w:pPr>
      <w:r>
        <w:rPr>
          <w:color w:val="000000"/>
        </w:rPr>
        <w:t>Base Contract for Short-Term Sale and Purchase of Natural Gas</w:t>
      </w:r>
    </w:p>
    <w:p>
      <w:pPr>
        <w:pStyle w:val="Normal"/>
        <w:rPr>
          <w:color w:val="000000"/>
          <w:sz w:val="20"/>
        </w:rPr>
      </w:pPr>
      <w:r>
        <w:rPr>
          <w:color w:val="000000"/>
          <w:sz w:val="20"/>
        </w:rPr>
      </w:r>
    </w:p>
    <w:p>
      <w:pPr>
        <w:pStyle w:val="Heading2"/>
        <w:ind w:hanging="0" w:start="0"/>
        <w:rPr>
          <w:sz w:val="40"/>
        </w:rPr>
      </w:pPr>
      <w:r>
        <w:rPr>
          <w:sz w:val="40"/>
        </w:rPr>
        <w:t>TXU FUEL COMPANY</w:t>
      </w:r>
    </w:p>
    <w:p>
      <w:pPr>
        <w:pStyle w:val="Normal"/>
        <w:jc w:val="center"/>
        <w:rPr>
          <w:b/>
          <w:i/>
          <w:i/>
          <w:sz w:val="20"/>
        </w:rPr>
      </w:pPr>
      <w:r>
        <w:rPr>
          <w:b/>
          <w:i/>
          <w:sz w:val="20"/>
        </w:rPr>
        <w:t>Transaction Confirmation</w:t>
      </w:r>
    </w:p>
    <w:p>
      <w:pPr>
        <w:pStyle w:val="Normal"/>
        <w:jc w:val="center"/>
        <w:rPr>
          <w:b/>
          <w:i/>
          <w:i/>
          <w:sz w:val="20"/>
        </w:rPr>
      </w:pPr>
      <w:r>
        <w:rPr>
          <w:b/>
          <w:i/>
          <w:sz w:val="20"/>
        </w:rPr>
        <w:t>Natural Gas Purchase</w:t>
      </w:r>
    </w:p>
    <w:p>
      <w:pPr>
        <w:pStyle w:val="Normal"/>
        <w:jc w:val="center"/>
        <w:rPr>
          <w:b/>
          <w:i/>
          <w:i/>
          <w:sz w:val="20"/>
        </w:rPr>
      </w:pPr>
      <w:r>
        <w:rPr>
          <w:b/>
          <w:i/>
          <w:sz w:val="20"/>
        </w:rPr>
      </w:r>
    </w:p>
    <w:p>
      <w:pPr>
        <w:pStyle w:val="Normal"/>
        <w:rPr>
          <w:sz w:val="20"/>
        </w:rPr>
      </w:pPr>
      <w:r>
        <w:rPr>
          <w:sz w:val="20"/>
        </w:rPr>
        <w:t>Date:</w:t>
        <w:tab/>
      </w:r>
    </w:p>
    <w:p>
      <w:pPr>
        <w:pStyle w:val="Normal"/>
        <w:rPr>
          <w:sz w:val="20"/>
        </w:rPr>
      </w:pPr>
      <w:r>
        <w:rPr>
          <w:sz w:val="20"/>
        </w:rPr>
        <w:t>Deal:</w:t>
      </w:r>
    </w:p>
    <w:p>
      <w:pPr>
        <w:pStyle w:val="Normal"/>
        <w:rPr>
          <w:sz w:val="20"/>
        </w:rPr>
      </w:pPr>
      <w:r>
        <w:rPr>
          <w:sz w:val="20"/>
        </w:rPr>
      </w:r>
    </w:p>
    <w:p>
      <w:pPr>
        <w:pStyle w:val="Normal"/>
        <w:rPr>
          <w:sz w:val="20"/>
        </w:rPr>
      </w:pPr>
      <w:r>
        <w:rPr>
          <w:sz w:val="20"/>
        </w:rPr>
        <w:t>To:</w:t>
        <w:tab/>
        <w:tab/>
        <w:tab/>
        <w:tab/>
        <w:tab/>
        <w:tab/>
        <w:tab/>
        <w:tab/>
        <w:tab/>
        <w:tab/>
        <w:t>Phone:</w:t>
        <w:tab/>
      </w:r>
    </w:p>
    <w:p>
      <w:pPr>
        <w:pStyle w:val="Normal"/>
        <w:rPr>
          <w:sz w:val="20"/>
        </w:rPr>
      </w:pPr>
      <w:r>
        <w:rPr>
          <w:sz w:val="20"/>
        </w:rPr>
        <w:t>Attn:</w:t>
        <w:tab/>
        <w:tab/>
        <w:tab/>
        <w:tab/>
        <w:tab/>
        <w:tab/>
        <w:tab/>
        <w:tab/>
        <w:tab/>
        <w:tab/>
        <w:t>Fax:</w:t>
        <w:tab/>
      </w:r>
    </w:p>
    <w:p>
      <w:pPr>
        <w:pStyle w:val="Normal"/>
        <w:rPr>
          <w:sz w:val="20"/>
        </w:rPr>
      </w:pPr>
      <w:r>
        <w:rPr>
          <w:sz w:val="20"/>
        </w:rPr>
      </w:r>
    </w:p>
    <w:p>
      <w:pPr>
        <w:pStyle w:val="Normal"/>
        <w:rPr>
          <w:sz w:val="20"/>
        </w:rPr>
      </w:pPr>
      <w:r>
        <w:rPr>
          <w:sz w:val="20"/>
        </w:rPr>
        <w:t>THIS TRANSACTION CONFIRMATION IS SUBJECT TO THE BASE CONTRACT BETWEEN SELLER AND BUYER INDICATED BELOW:</w:t>
      </w:r>
    </w:p>
    <w:p>
      <w:pPr>
        <w:pStyle w:val="Normal"/>
        <w:rPr>
          <w:sz w:val="20"/>
        </w:rPr>
      </w:pPr>
      <w:r>
        <w:rPr>
          <w:sz w:val="20"/>
        </w:rPr>
      </w:r>
    </w:p>
    <w:p>
      <w:pPr>
        <w:pStyle w:val="Normal"/>
        <w:rPr>
          <w:sz w:val="20"/>
        </w:rPr>
      </w:pPr>
      <w:r>
        <w:rPr>
          <w:sz w:val="20"/>
        </w:rPr>
        <w:t>Buyer:</w:t>
        <w:tab/>
        <w:tab/>
        <w:tab/>
        <w:tab/>
        <w:tab/>
        <w:tab/>
        <w:t xml:space="preserve">Contract #: </w:t>
      </w:r>
    </w:p>
    <w:p>
      <w:pPr>
        <w:pStyle w:val="Normal"/>
        <w:ind w:firstLine="720" w:start="2880" w:end="0"/>
        <w:rPr>
          <w:sz w:val="20"/>
        </w:rPr>
      </w:pPr>
      <w:r>
        <w:rPr>
          <w:sz w:val="20"/>
        </w:rPr>
        <w:tab/>
        <w:t>Contract Status:</w:t>
        <w:tab/>
        <w:tab/>
        <w:tab/>
        <w:t>Contract Date:</w:t>
      </w:r>
    </w:p>
    <w:p>
      <w:pPr>
        <w:pStyle w:val="Normal"/>
        <w:rPr>
          <w:sz w:val="20"/>
        </w:rPr>
      </w:pPr>
      <w:r>
        <w:rPr>
          <w:sz w:val="20"/>
        </w:rPr>
        <w:t>Seller:</w:t>
        <w:tab/>
        <w:tab/>
        <w:tab/>
        <w:tab/>
        <w:tab/>
        <w:tab/>
        <w:t>Contract #:</w:t>
      </w:r>
    </w:p>
    <w:p>
      <w:pPr>
        <w:pStyle w:val="Normal"/>
        <w:rPr>
          <w:sz w:val="20"/>
        </w:rPr>
      </w:pPr>
      <w:r>
        <w:rPr>
          <w:sz w:val="20"/>
        </w:rPr>
        <w:t>Product Class: Natural Gas</w:t>
      </w:r>
    </w:p>
    <w:p>
      <w:pPr>
        <w:pStyle w:val="Normal"/>
        <w:rPr>
          <w:sz w:val="20"/>
        </w:rPr>
      </w:pPr>
      <w:r>
        <w:rPr>
          <w:sz w:val="20"/>
        </w:rPr>
      </w:r>
    </w:p>
    <w:tbl>
      <w:tblPr>
        <w:tblW w:w="10368" w:type="dxa"/>
        <w:jc w:val="start"/>
        <w:tblInd w:w="0" w:type="dxa"/>
        <w:tblLayout w:type="fixed"/>
        <w:tblCellMar>
          <w:top w:w="0" w:type="dxa"/>
          <w:start w:w="108" w:type="dxa"/>
          <w:bottom w:w="0" w:type="dxa"/>
          <w:end w:w="108" w:type="dxa"/>
        </w:tblCellMar>
      </w:tblPr>
      <w:tblGrid>
        <w:gridCol w:w="1458"/>
        <w:gridCol w:w="1116"/>
        <w:gridCol w:w="954"/>
        <w:gridCol w:w="1260"/>
        <w:gridCol w:w="1440"/>
        <w:gridCol w:w="2250"/>
        <w:gridCol w:w="1620"/>
        <w:gridCol w:w="270"/>
      </w:tblGrid>
      <w:tr>
        <w:trPr/>
        <w:tc>
          <w:tcPr>
            <w:tcW w:w="1458" w:type="dxa"/>
            <w:tcBorders>
              <w:bottom w:val="single" w:sz="4" w:space="0" w:color="000000"/>
            </w:tcBorders>
          </w:tcPr>
          <w:p>
            <w:pPr>
              <w:pStyle w:val="BodyText2"/>
              <w:jc w:val="center"/>
              <w:rPr/>
            </w:pPr>
            <w:r>
              <w:rPr/>
              <w:t xml:space="preserve">Delivery </w:t>
            </w:r>
          </w:p>
          <w:p>
            <w:pPr>
              <w:pStyle w:val="BodyText2"/>
              <w:jc w:val="center"/>
              <w:rPr/>
            </w:pPr>
            <w:r>
              <w:rPr/>
              <w:t>Period</w:t>
            </w:r>
          </w:p>
          <w:p>
            <w:pPr>
              <w:pStyle w:val="Normal"/>
              <w:jc w:val="center"/>
              <w:rPr>
                <w:sz w:val="20"/>
              </w:rPr>
            </w:pPr>
            <w:r>
              <w:rPr>
                <w:sz w:val="20"/>
              </w:rPr>
              <w:t>Start-End Date</w:t>
            </w:r>
          </w:p>
        </w:tc>
        <w:tc>
          <w:tcPr>
            <w:tcW w:w="1116" w:type="dxa"/>
            <w:tcBorders>
              <w:bottom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Contract</w:t>
            </w:r>
          </w:p>
          <w:p>
            <w:pPr>
              <w:pStyle w:val="Normal"/>
              <w:jc w:val="center"/>
              <w:rPr>
                <w:sz w:val="20"/>
              </w:rPr>
            </w:pPr>
            <w:r>
              <w:rPr>
                <w:b/>
                <w:sz w:val="20"/>
              </w:rPr>
              <w:t>Qty/D</w:t>
            </w:r>
          </w:p>
        </w:tc>
        <w:tc>
          <w:tcPr>
            <w:tcW w:w="954" w:type="dxa"/>
            <w:tcBorders>
              <w:bottom w:val="single" w:sz="4" w:space="0" w:color="000000"/>
            </w:tcBorders>
          </w:tcPr>
          <w:p>
            <w:pPr>
              <w:pStyle w:val="Normal"/>
              <w:snapToGrid w:val="false"/>
              <w:rPr>
                <w:sz w:val="20"/>
              </w:rPr>
            </w:pPr>
            <w:r>
              <w:rPr>
                <w:sz w:val="20"/>
              </w:rPr>
            </w:r>
          </w:p>
          <w:p>
            <w:pPr>
              <w:pStyle w:val="Normal"/>
              <w:rPr>
                <w:sz w:val="20"/>
              </w:rPr>
            </w:pPr>
            <w:r>
              <w:rPr>
                <w:sz w:val="20"/>
              </w:rPr>
            </w:r>
          </w:p>
          <w:p>
            <w:pPr>
              <w:pStyle w:val="Heading3"/>
              <w:ind w:hanging="0" w:start="0"/>
              <w:rPr/>
            </w:pPr>
            <w:r>
              <w:rPr/>
              <w:t>Units</w:t>
            </w:r>
          </w:p>
        </w:tc>
        <w:tc>
          <w:tcPr>
            <w:tcW w:w="1260" w:type="dxa"/>
            <w:tcBorders>
              <w:bottom w:val="single" w:sz="4" w:space="0" w:color="000000"/>
            </w:tcBorders>
          </w:tcPr>
          <w:p>
            <w:pPr>
              <w:pStyle w:val="Normal"/>
              <w:snapToGrid w:val="false"/>
              <w:rPr>
                <w:sz w:val="20"/>
              </w:rPr>
            </w:pPr>
            <w:r>
              <w:rPr>
                <w:sz w:val="20"/>
              </w:rPr>
            </w:r>
          </w:p>
          <w:p>
            <w:pPr>
              <w:pStyle w:val="Normal"/>
              <w:jc w:val="center"/>
              <w:rPr>
                <w:b/>
                <w:sz w:val="20"/>
              </w:rPr>
            </w:pPr>
            <w:r>
              <w:rPr>
                <w:b/>
                <w:sz w:val="20"/>
              </w:rPr>
              <w:t>Contract</w:t>
            </w:r>
          </w:p>
          <w:p>
            <w:pPr>
              <w:pStyle w:val="Normal"/>
              <w:jc w:val="center"/>
              <w:rPr>
                <w:sz w:val="20"/>
              </w:rPr>
            </w:pPr>
            <w:r>
              <w:rPr>
                <w:b/>
                <w:sz w:val="20"/>
              </w:rPr>
              <w:t>Price Basis</w:t>
            </w:r>
          </w:p>
        </w:tc>
        <w:tc>
          <w:tcPr>
            <w:tcW w:w="1440" w:type="dxa"/>
            <w:tcBorders>
              <w:bottom w:val="single" w:sz="4" w:space="0" w:color="000000"/>
            </w:tcBorders>
          </w:tcPr>
          <w:p>
            <w:pPr>
              <w:pStyle w:val="Normal"/>
              <w:snapToGrid w:val="false"/>
              <w:rPr>
                <w:sz w:val="20"/>
              </w:rPr>
            </w:pPr>
            <w:r>
              <w:rPr>
                <w:sz w:val="20"/>
              </w:rPr>
            </w:r>
          </w:p>
          <w:p>
            <w:pPr>
              <w:pStyle w:val="Heading3"/>
              <w:ind w:hanging="0" w:start="0"/>
              <w:rPr/>
            </w:pPr>
            <w:r>
              <w:rPr/>
              <w:t>Performance</w:t>
            </w:r>
          </w:p>
          <w:p>
            <w:pPr>
              <w:pStyle w:val="Normal"/>
              <w:jc w:val="center"/>
              <w:rPr>
                <w:b/>
                <w:sz w:val="20"/>
              </w:rPr>
            </w:pPr>
            <w:r>
              <w:rPr>
                <w:b/>
                <w:sz w:val="20"/>
              </w:rPr>
              <w:t>Obligation</w:t>
            </w:r>
          </w:p>
        </w:tc>
        <w:tc>
          <w:tcPr>
            <w:tcW w:w="2250" w:type="dxa"/>
            <w:tcBorders>
              <w:bottom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Delivery/Receipt Point(s)</w:t>
            </w:r>
          </w:p>
          <w:p>
            <w:pPr>
              <w:pStyle w:val="Normal"/>
              <w:jc w:val="center"/>
              <w:rPr>
                <w:sz w:val="20"/>
              </w:rPr>
            </w:pPr>
            <w:r>
              <w:rPr>
                <w:sz w:val="20"/>
              </w:rPr>
              <w:t>(Station Number/Name)</w:t>
            </w:r>
          </w:p>
        </w:tc>
        <w:tc>
          <w:tcPr>
            <w:tcW w:w="1620" w:type="dxa"/>
            <w:tcBorders>
              <w:bottom w:val="single" w:sz="4" w:space="0" w:color="000000"/>
            </w:tcBorders>
          </w:tcPr>
          <w:p>
            <w:pPr>
              <w:pStyle w:val="Normal"/>
              <w:snapToGrid w:val="false"/>
              <w:rPr>
                <w:sz w:val="20"/>
              </w:rPr>
            </w:pPr>
            <w:r>
              <w:rPr>
                <w:sz w:val="20"/>
              </w:rPr>
            </w:r>
          </w:p>
          <w:p>
            <w:pPr>
              <w:pStyle w:val="Normal"/>
              <w:rPr>
                <w:sz w:val="20"/>
              </w:rPr>
            </w:pPr>
            <w:r>
              <w:rPr>
                <w:sz w:val="20"/>
              </w:rPr>
            </w:r>
          </w:p>
          <w:p>
            <w:pPr>
              <w:pStyle w:val="Heading4"/>
              <w:ind w:hanging="0" w:start="0"/>
              <w:rPr>
                <w:sz w:val="20"/>
              </w:rPr>
            </w:pPr>
            <w:r>
              <w:rPr>
                <w:sz w:val="20"/>
              </w:rPr>
              <w:t>Pipeline</w:t>
            </w:r>
          </w:p>
        </w:tc>
        <w:tc>
          <w:tcPr>
            <w:tcW w:w="270" w:type="dxa"/>
            <w:tcBorders>
              <w:bottom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tc>
      </w:tr>
      <w:tr>
        <w:trPr/>
        <w:tc>
          <w:tcPr>
            <w:tcW w:w="1458" w:type="dxa"/>
            <w:tcBorders/>
          </w:tcPr>
          <w:p>
            <w:pPr>
              <w:pStyle w:val="Normal"/>
              <w:snapToGrid w:val="false"/>
              <w:rPr>
                <w:sz w:val="20"/>
              </w:rPr>
            </w:pPr>
            <w:r>
              <w:rPr>
                <w:sz w:val="20"/>
              </w:rPr>
            </w:r>
          </w:p>
        </w:tc>
        <w:tc>
          <w:tcPr>
            <w:tcW w:w="1116" w:type="dxa"/>
            <w:tcBorders/>
          </w:tcPr>
          <w:p>
            <w:pPr>
              <w:pStyle w:val="Normal"/>
              <w:snapToGrid w:val="false"/>
              <w:rPr>
                <w:sz w:val="20"/>
              </w:rPr>
            </w:pPr>
            <w:r>
              <w:rPr>
                <w:sz w:val="20"/>
              </w:rPr>
            </w:r>
          </w:p>
        </w:tc>
        <w:tc>
          <w:tcPr>
            <w:tcW w:w="954" w:type="dxa"/>
            <w:tcBorders/>
          </w:tcPr>
          <w:p>
            <w:pPr>
              <w:pStyle w:val="Normal"/>
              <w:snapToGrid w:val="false"/>
              <w:rPr>
                <w:sz w:val="20"/>
              </w:rPr>
            </w:pPr>
            <w:r>
              <w:rPr>
                <w:sz w:val="20"/>
              </w:rPr>
            </w:r>
          </w:p>
        </w:tc>
        <w:tc>
          <w:tcPr>
            <w:tcW w:w="1260" w:type="dxa"/>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2250" w:type="dxa"/>
            <w:tcBorders/>
          </w:tcPr>
          <w:p>
            <w:pPr>
              <w:pStyle w:val="Normal"/>
              <w:snapToGrid w:val="false"/>
              <w:rPr>
                <w:sz w:val="20"/>
              </w:rPr>
            </w:pPr>
            <w:r>
              <w:rPr>
                <w:sz w:val="20"/>
              </w:rPr>
            </w:r>
          </w:p>
        </w:tc>
        <w:tc>
          <w:tcPr>
            <w:tcW w:w="1620" w:type="dxa"/>
            <w:tcBorders/>
          </w:tcPr>
          <w:p>
            <w:pPr>
              <w:pStyle w:val="Normal"/>
              <w:snapToGrid w:val="false"/>
              <w:rPr>
                <w:sz w:val="20"/>
              </w:rPr>
            </w:pPr>
            <w:r>
              <w:rPr>
                <w:sz w:val="20"/>
              </w:rPr>
            </w:r>
          </w:p>
        </w:tc>
        <w:tc>
          <w:tcPr>
            <w:tcW w:w="270" w:type="dxa"/>
            <w:tcBorders/>
          </w:tcPr>
          <w:p>
            <w:pPr>
              <w:pStyle w:val="Normal"/>
              <w:jc w:val="end"/>
              <w:rPr>
                <w:sz w:val="20"/>
              </w:rPr>
            </w:pPr>
            <w:r>
              <w:rPr>
                <w:sz w:val="20"/>
              </w:rPr>
              <w:t>*</w:t>
            </w:r>
          </w:p>
        </w:tc>
      </w:tr>
    </w:tbl>
    <w:p>
      <w:pPr>
        <w:pStyle w:val="Normal"/>
        <w:rPr>
          <w:sz w:val="20"/>
        </w:rPr>
      </w:pPr>
      <w:r>
        <w:rPr>
          <w:sz w:val="20"/>
        </w:rPr>
        <w:tab/>
        <w:tab/>
        <w:tab/>
        <w:tab/>
        <w:tab/>
        <w:tab/>
        <w:tab/>
        <w:tab/>
        <w:tab/>
        <w:tab/>
        <w:tab/>
        <w:tab/>
        <w:tab/>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Footnotes:</w:t>
      </w:r>
    </w:p>
    <w:p>
      <w:pPr>
        <w:pStyle w:val="Normal"/>
        <w:rPr>
          <w:sz w:val="20"/>
        </w:rPr>
      </w:pPr>
      <w:r>
        <w:rPr>
          <w:sz w:val="20"/>
        </w:rPr>
      </w:r>
    </w:p>
    <w:p>
      <w:pPr>
        <w:pStyle w:val="Normal"/>
        <w:rPr>
          <w:sz w:val="20"/>
        </w:rPr>
      </w:pPr>
      <w:r>
        <w:rPr>
          <w:sz w:val="20"/>
        </w:rPr>
      </w:r>
    </w:p>
    <w:p>
      <w:pPr>
        <w:pStyle w:val="Normal"/>
        <w:jc w:val="both"/>
        <w:rPr>
          <w:sz w:val="20"/>
        </w:rPr>
      </w:pPr>
      <w:r>
        <w:rPr>
          <w:sz w:val="20"/>
        </w:rPr>
        <w:tab/>
        <w:t>Please contact your account representative within 2 business days of receipt of this confirmation if the terms stated herein do not correctly reflect your understanding of the transaction(s). Actual quantities of gas delivered may vary somewhat from nominated quantities due to (i) allocation procedures regarding over and under deliveries and (ii) proration of available receipt point capacity.</w:t>
      </w:r>
    </w:p>
    <w:p>
      <w:pPr>
        <w:pStyle w:val="Normal"/>
        <w:jc w:val="both"/>
        <w:rPr>
          <w:sz w:val="20"/>
        </w:rPr>
      </w:pPr>
      <w:r>
        <w:rPr>
          <w:sz w:val="20"/>
        </w:rPr>
      </w:r>
    </w:p>
    <w:p>
      <w:pPr>
        <w:pStyle w:val="Normal"/>
        <w:jc w:val="both"/>
        <w:rPr>
          <w:sz w:val="20"/>
        </w:rPr>
      </w:pPr>
      <w:r>
        <w:rPr>
          <w:sz w:val="20"/>
        </w:rPr>
        <w:tab/>
        <w:t>In accordance with the provisions of the Uniform Commercial Code, TXU Fuel Company’s printed name at the top of this form shall act as TXU Fuel Company’s signature for the purpose of authenticating this Transaction Confirmation.</w:t>
      </w:r>
    </w:p>
    <w:p>
      <w:pPr>
        <w:pStyle w:val="Normal"/>
        <w:rPr>
          <w:sz w:val="20"/>
        </w:rPr>
      </w:pPr>
      <w:r>
        <w:rPr>
          <w:sz w:val="20"/>
        </w:rPr>
      </w:r>
    </w:p>
    <w:p>
      <w:pPr>
        <w:pStyle w:val="Normal"/>
        <w:tabs>
          <w:tab w:val="clear" w:pos="720"/>
          <w:tab w:val="right" w:pos="1440" w:leader="none"/>
        </w:tabs>
        <w:rPr>
          <w:sz w:val="20"/>
        </w:rPr>
      </w:pPr>
      <w:r>
        <w:rPr>
          <w:sz w:val="20"/>
        </w:rPr>
        <w:tab/>
        <w:t>Account Rep:</w:t>
        <w:tab/>
      </w:r>
    </w:p>
    <w:p>
      <w:pPr>
        <w:pStyle w:val="Normal"/>
        <w:tabs>
          <w:tab w:val="clear" w:pos="720"/>
          <w:tab w:val="right" w:pos="1440" w:leader="none"/>
        </w:tabs>
        <w:rPr>
          <w:sz w:val="20"/>
        </w:rPr>
      </w:pPr>
      <w:r>
        <w:rPr>
          <w:sz w:val="20"/>
        </w:rPr>
        <w:tab/>
        <w:t>Phone:</w:t>
        <w:tab/>
        <w:tab/>
      </w:r>
    </w:p>
    <w:p>
      <w:pPr>
        <w:pStyle w:val="Normal"/>
        <w:tabs>
          <w:tab w:val="clear" w:pos="720"/>
          <w:tab w:val="right" w:pos="1440" w:leader="none"/>
        </w:tabs>
        <w:rPr>
          <w:sz w:val="20"/>
        </w:rPr>
      </w:pPr>
      <w:r>
        <w:rPr>
          <w:sz w:val="20"/>
        </w:rPr>
        <w:tab/>
        <w:t>Fax:</w:t>
        <w:tab/>
        <w:tab/>
      </w:r>
    </w:p>
    <w:p>
      <w:pPr>
        <w:pStyle w:val="Normal"/>
        <w:tabs>
          <w:tab w:val="clear" w:pos="720"/>
          <w:tab w:val="right" w:pos="1440" w:leader="none"/>
        </w:tabs>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ENERGY PLAZA * 1601 BRYAN STREET * DALLAS, TEXAS 75201-3411</w:t>
      </w:r>
    </w:p>
    <w:p>
      <w:pPr>
        <w:pStyle w:val="Heading1"/>
        <w:ind w:hanging="0" w:start="0"/>
        <w:jc w:val="start"/>
        <w:rPr>
          <w:sz w:val="20"/>
        </w:rPr>
      </w:pPr>
      <w:r>
        <w:rPr>
          <w:sz w:val="20"/>
        </w:rPr>
      </w:r>
    </w:p>
    <w:sectPr>
      <w:type w:val="continuous"/>
      <w:pgSz w:w="12240" w:h="15840"/>
      <w:pgMar w:left="1435" w:right="1440" w:gutter="0" w:header="0" w:top="810" w:footer="705" w:bottom="761"/>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10"/>
        </w:tabs>
        <w:ind w:start="710" w:hanging="705"/>
      </w:pPr>
      <w:rPr/>
    </w:lvl>
  </w:abstractNum>
  <w:abstractNum w:abstractNumId="4">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center"/>
      <w:outlineLvl w:val="0"/>
    </w:pPr>
    <w:rPr>
      <w:u w:val="single"/>
      <w:lang w:eastAsia="en-CA"/>
    </w:rPr>
  </w:style>
  <w:style w:type="paragraph" w:styleId="Heading2">
    <w:name w:val="heading 2"/>
    <w:basedOn w:val="Normal"/>
    <w:next w:val="Normal"/>
    <w:qFormat/>
    <w:pPr>
      <w:keepNext w:val="true"/>
      <w:widowControl/>
      <w:numPr>
        <w:ilvl w:val="1"/>
        <w:numId w:val="1"/>
      </w:numPr>
      <w:pBdr>
        <w:bottom w:val="single" w:sz="12" w:space="1" w:color="000000"/>
      </w:pBdr>
      <w:outlineLvl w:val="1"/>
    </w:pPr>
    <w:rPr>
      <w:b/>
      <w:lang w:eastAsia="en-CA"/>
    </w:rPr>
  </w:style>
  <w:style w:type="paragraph" w:styleId="Heading3">
    <w:name w:val="heading 3"/>
    <w:basedOn w:val="Normal"/>
    <w:next w:val="Normal"/>
    <w:qFormat/>
    <w:pPr>
      <w:keepNext w:val="true"/>
      <w:widowControl/>
      <w:numPr>
        <w:ilvl w:val="2"/>
        <w:numId w:val="1"/>
      </w:numPr>
      <w:jc w:val="center"/>
      <w:outlineLvl w:val="2"/>
    </w:pPr>
    <w:rPr>
      <w:b/>
      <w:sz w:val="20"/>
      <w:lang w:eastAsia="en-CA"/>
    </w:rPr>
  </w:style>
  <w:style w:type="paragraph" w:styleId="Heading4">
    <w:name w:val="heading 4"/>
    <w:basedOn w:val="Normal"/>
    <w:next w:val="Normal"/>
    <w:qFormat/>
    <w:pPr>
      <w:keepNext w:val="true"/>
      <w:widowControl/>
      <w:numPr>
        <w:ilvl w:val="3"/>
        <w:numId w:val="1"/>
      </w:numPr>
      <w:jc w:val="center"/>
      <w:outlineLvl w:val="3"/>
    </w:pPr>
    <w:rPr>
      <w:b/>
      <w:sz w:val="16"/>
      <w:lang w:eastAsia="en-C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9">
    <w:name w:val="p9"/>
    <w:basedOn w:val="Normal"/>
    <w:qFormat/>
    <w:pPr>
      <w:tabs>
        <w:tab w:val="clear" w:pos="720"/>
        <w:tab w:val="left" w:pos="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79"/>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pPr>
    <w:rPr>
      <w:b/>
      <w:sz w:val="20"/>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2001-04-12T18:18:00Z</dcterms:created>
  <dc:creator>Preferred Customer</dc:creator>
  <dc:description/>
  <dc:language>en-CA</dc:language>
  <cp:lastModifiedBy>Preferred Customer</cp:lastModifiedBy>
  <dcterms:modified xsi:type="dcterms:W3CDTF">2001-04-17T19:20:00Z</dcterms:modified>
  <cp:revision>4</cp:revision>
  <dc:subject/>
  <dc:title>SPECIAL PROVISIONS AMENDMENT</dc:title>
</cp:coreProperties>
</file>