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sz w:val="20"/>
        </w:rPr>
        <w:t xml:space="preserve">This Base Contract is entered into as of the following date: </w:t>
      </w:r>
      <w:r>
        <w:rPr>
          <w:sz w:val="20"/>
          <w:u w:val="single"/>
        </w:rPr>
        <w:tab/>
      </w:r>
      <w:r>
        <w:rPr>
          <w:sz w:val="20"/>
        </w:rPr>
        <w:t>.</w:t>
      </w:r>
    </w:p>
    <w:p>
      <w:pPr>
        <w:pStyle w:val="Normal"/>
        <w:tabs>
          <w:tab w:val="clear" w:pos="720"/>
          <w:tab w:val="right" w:pos="9360" w:leader="none"/>
        </w:tabs>
        <w:rPr>
          <w:sz w:val="20"/>
        </w:rPr>
      </w:pPr>
      <w:r>
        <w:rPr>
          <w:sz w:val="20"/>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u w:val="single"/>
        </w:rPr>
        <w:t xml:space="preserve">UBS AG, a bank organized under the </w:t>
        <w:tab/>
        <w:t xml:space="preserve">     </w:t>
        <w:tab/>
        <w:t xml:space="preserve">  </w:t>
      </w:r>
      <w:r>
        <w:rPr/>
        <w:t xml:space="preserve"> and</w:t>
        <w:tab/>
      </w:r>
      <w:r>
        <w:rPr>
          <w:u w:val="single"/>
        </w:rPr>
        <w:tab/>
        <w:tab/>
      </w:r>
      <w:r>
        <w:rPr/>
        <w:br/>
      </w:r>
      <w:r>
        <w:rPr>
          <w:u w:val="single"/>
        </w:rPr>
        <w:t>laws of Switzerland ("UBS")</w:t>
        <w:tab/>
        <w:tab/>
        <w:tab/>
      </w:r>
      <w:r>
        <w:rPr/>
        <w:tab/>
      </w:r>
      <w:r>
        <w:rPr>
          <w:u w:val="single"/>
        </w:rPr>
        <w:tab/>
        <w:t>("Counterparty")</w:t>
        <w:tab/>
      </w:r>
      <w:r>
        <w:rPr/>
        <w:br/>
        <w:t xml:space="preserve">Duns # </w:t>
      </w:r>
      <w:r>
        <w:rPr>
          <w:u w:val="single"/>
        </w:rPr>
        <w:tab/>
        <w:tab/>
        <w:tab/>
      </w:r>
      <w:r>
        <w:rPr/>
        <w:tab/>
        <w:t xml:space="preserve">Duns # </w:t>
      </w:r>
      <w:r>
        <w:rPr>
          <w:u w:val="single"/>
        </w:rPr>
        <w:tab/>
        <w:tab/>
      </w:r>
      <w:r>
        <w:rPr/>
        <w:br/>
        <w:t xml:space="preserve">Contract # </w:t>
      </w:r>
      <w:r>
        <w:rPr>
          <w:u w:val="single"/>
        </w:rPr>
        <w:tab/>
        <w:tab/>
        <w:tab/>
      </w:r>
      <w:r>
        <w:rPr/>
        <w:tab/>
        <w:t xml:space="preserve">Contract # </w:t>
      </w:r>
      <w:r>
        <w:rPr>
          <w:u w:val="single"/>
        </w:rPr>
        <w:tab/>
        <w:tab/>
        <w:br/>
      </w:r>
      <w:r>
        <w:rPr/>
        <w:t xml:space="preserve">Attn: </w:t>
      </w:r>
      <w:r>
        <w:rPr>
          <w:u w:val="single"/>
        </w:rPr>
        <w:tab/>
        <w:tab/>
        <w:tab/>
      </w:r>
      <w:r>
        <w:rPr/>
        <w:tab/>
        <w:t xml:space="preserve">Attn: </w:t>
      </w:r>
      <w:r>
        <w:rPr>
          <w:u w:val="single"/>
        </w:rPr>
        <w:tab/>
        <w:tab/>
      </w:r>
      <w:r>
        <w:rPr/>
        <w:br/>
        <w:t xml:space="preserve">Phone: </w:t>
      </w:r>
      <w:r>
        <w:rPr>
          <w:u w:val="single"/>
        </w:rPr>
        <w:tab/>
      </w:r>
      <w:r>
        <w:rPr/>
        <w:t xml:space="preserve"> Fax: </w:t>
      </w:r>
      <w:r>
        <w:rPr>
          <w:u w:val="single"/>
        </w:rPr>
        <w:tab/>
        <w:tab/>
      </w:r>
      <w:r>
        <w:rPr/>
        <w:tab/>
        <w:t xml:space="preserve">Phone: </w:t>
      </w:r>
      <w:r>
        <w:rPr>
          <w:u w:val="single"/>
        </w:rPr>
        <w:tab/>
      </w:r>
      <w:r>
        <w:rPr/>
        <w:t xml:space="preserve"> Fax:</w:t>
      </w:r>
      <w:r>
        <w:rPr>
          <w:u w:val="single"/>
        </w:rPr>
        <w:tab/>
      </w:r>
      <w:r>
        <w:rPr/>
        <w:br/>
        <w:t xml:space="preserve">Federal Tax ID Number: </w:t>
      </w:r>
      <w:r>
        <w:rPr>
          <w:u w:val="single"/>
        </w:rPr>
        <w:tab/>
        <w:tab/>
        <w:tab/>
      </w:r>
      <w:r>
        <w:rPr/>
        <w:tab/>
        <w:t xml:space="preserve">Federal Tax ID Number: </w:t>
      </w:r>
      <w:r>
        <w:rPr>
          <w:u w:val="single"/>
        </w:rPr>
        <w:tab/>
        <w:tab/>
      </w:r>
    </w:p>
    <w:p>
      <w:pPr>
        <w:pStyle w:val="Normal"/>
        <w:rPr>
          <w:b/>
        </w:rPr>
      </w:pPr>
      <w:r>
        <w:rPr>
          <w:b/>
        </w:rPr>
        <w:t>Invoices and Payments:</w:t>
      </w:r>
    </w:p>
    <w:p>
      <w:pPr>
        <w:pStyle w:val="DoubleSignatures"/>
        <w:spacing w:before="0" w:after="0"/>
        <w:rPr/>
      </w:pPr>
      <w:r>
        <w:rPr>
          <w:u w:val="single"/>
        </w:rPr>
        <w:tab/>
        <w:tab/>
      </w:r>
      <w:r>
        <w:rPr/>
        <w:tab/>
      </w:r>
      <w:r>
        <w:rPr>
          <w:u w:val="single"/>
        </w:rPr>
        <w:tab/>
        <w:tab/>
      </w:r>
      <w:r>
        <w:rPr/>
        <w:br/>
      </w:r>
      <w:r>
        <w:rPr>
          <w:u w:val="single"/>
        </w:rPr>
        <w:tab/>
        <w:tab/>
      </w:r>
      <w:r>
        <w:rPr/>
        <w:tab/>
      </w:r>
      <w:r>
        <w:rPr>
          <w:u w:val="single"/>
        </w:rPr>
        <w:tab/>
        <w:tab/>
      </w:r>
      <w:r>
        <w:rPr/>
        <w:br/>
        <w:t xml:space="preserve">Attn: </w:t>
      </w:r>
      <w:r>
        <w:rPr>
          <w:u w:val="single"/>
        </w:rPr>
        <w:tab/>
        <w:tab/>
      </w:r>
      <w:r>
        <w:rPr/>
        <w:tab/>
        <w:t xml:space="preserve">Attn: </w:t>
      </w:r>
      <w:r>
        <w:rPr>
          <w:u w:val="single"/>
        </w:rPr>
        <w:tab/>
        <w:tab/>
      </w:r>
      <w:r>
        <w:rPr/>
        <w:br/>
        <w:t xml:space="preserve">Phone: </w:t>
      </w:r>
      <w:r>
        <w:rPr>
          <w:u w:val="single"/>
        </w:rPr>
        <w:tab/>
        <w:t xml:space="preserve"> </w:t>
      </w:r>
      <w:r>
        <w:rPr/>
        <w:t xml:space="preserve">Fax: </w:t>
      </w:r>
      <w:r>
        <w:rPr>
          <w:u w:val="single"/>
        </w:rPr>
        <w:tab/>
      </w:r>
      <w:r>
        <w:rPr/>
        <w:tab/>
        <w:t xml:space="preserve">Phone: </w:t>
      </w:r>
      <w:r>
        <w:rPr>
          <w:u w:val="single"/>
        </w:rPr>
        <w:tab/>
        <w:t xml:space="preserve"> </w:t>
      </w:r>
      <w:r>
        <w:rPr/>
        <w:t xml:space="preserve">Fax: </w:t>
      </w:r>
      <w:r>
        <w:rPr>
          <w:u w:val="single"/>
        </w:rPr>
        <w:tab/>
      </w:r>
      <w:r>
        <w:rPr/>
        <w:br/>
        <w:t>Wire Transfer or ACH Nos. (if applicable)</w:t>
        <w:tab/>
        <w:tab/>
        <w:t>Wire Transfer or ACH Nos. (if applicable)</w:t>
        <w:br/>
      </w:r>
      <w:r>
        <w:rPr>
          <w:u w:val="single"/>
        </w:rPr>
        <w:tab/>
        <w:tab/>
      </w:r>
      <w:r>
        <w:rPr/>
        <w:tab/>
      </w:r>
      <w:r>
        <w:rPr>
          <w:u w:val="single"/>
        </w:rPr>
        <w:tab/>
        <w:tab/>
      </w:r>
    </w:p>
    <w:p>
      <w:pPr>
        <w:pStyle w:val="Normal"/>
        <w:tabs>
          <w:tab w:val="clear" w:pos="720"/>
          <w:tab w:val="right" w:pos="9360" w:leader="none"/>
        </w:tabs>
        <w:jc w:val="both"/>
        <w:rPr/>
      </w:pPr>
      <w:r>
        <w:rPr>
          <w:sz w:val="20"/>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sz w:val="20"/>
        </w:rPr>
        <w:t>(select only one from each box, but see "</w:t>
      </w:r>
      <w:r>
        <w:rPr>
          <w:b/>
          <w:i/>
          <w:sz w:val="20"/>
        </w:rPr>
        <w:t>Note</w:t>
      </w:r>
      <w:r>
        <w:rPr>
          <w:b/>
          <w:sz w:val="20"/>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 xml:space="preserve"> UBS </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u w:val="single"/>
              </w:rPr>
            </w:pPr>
            <w:r>
              <w:rPr>
                <w:sz w:val="19"/>
              </w:rPr>
              <w:t xml:space="preserve">Spot Price Publication:  Gas Daily </w:t>
            </w:r>
            <w:r>
              <w:rPr>
                <w:sz w:val="20"/>
              </w:rPr>
              <w:t>®, or successor publication</w:t>
            </w:r>
          </w:p>
          <w:p>
            <w:pPr>
              <w:pStyle w:val="Normal"/>
              <w:tabs>
                <w:tab w:val="clear" w:pos="720"/>
                <w:tab w:val="left" w:pos="2340" w:leader="none"/>
                <w:tab w:val="right" w:pos="3312" w:leader="none"/>
              </w:tabs>
              <w:rPr>
                <w:sz w:val="19"/>
                <w:u w:val="single"/>
              </w:rPr>
            </w:pPr>
            <w:r>
              <w:rPr>
                <w:sz w:val="19"/>
                <w:u w:val="single"/>
              </w:rPr>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pPr>
            <w:r>
              <w:rPr>
                <w:sz w:val="19"/>
              </w:rPr>
              <w:t>Choice of Law:</w:t>
            </w:r>
            <w:r>
              <w:rPr>
                <w:sz w:val="19"/>
                <w:u w:val="single"/>
              </w:rPr>
              <w:tab/>
              <w:t>New York</w:t>
              <w:tab/>
              <w:tab/>
              <w:tab/>
              <w:tab/>
            </w:r>
          </w:p>
          <w:p>
            <w:pPr>
              <w:pStyle w:val="Normal"/>
              <w:jc w:val="both"/>
              <w:rPr>
                <w:sz w:val="19"/>
                <w:u w:val="single"/>
              </w:rPr>
            </w:pPr>
            <w:r>
              <w:rPr>
                <w:sz w:val="19"/>
                <w:u w:val="single"/>
              </w:rPr>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b/>
                <w:bCs/>
                <w:sz w:val="19"/>
              </w:rPr>
              <w:sym w:font="Wingdings" w:char="f0fe"/>
            </w:r>
            <w:r>
              <w:rPr>
                <w:sz w:val="19"/>
              </w:rPr>
              <w:t xml:space="preserve">   </w:t>
            </w:r>
            <w:r>
              <w:rPr>
                <w:sz w:val="19"/>
              </w:rPr>
              <w:t xml:space="preserve">Sheet(s) attached for special provisions.  Number of sheets attached:  </w:t>
            </w:r>
            <w:r>
              <w:rPr>
                <w:sz w:val="19"/>
                <w:u w:val="single"/>
              </w:rPr>
              <w:tab/>
            </w:r>
            <w:r>
              <w:rPr>
                <w:b/>
                <w:bCs/>
                <w:sz w:val="19"/>
                <w:u w:val="single"/>
              </w:rPr>
              <w:t>[[</w:t>
            </w:r>
            <w:r>
              <w:rPr>
                <w:sz w:val="19"/>
                <w:u w:val="single"/>
              </w:rPr>
              <w:tab/>
            </w:r>
            <w:r>
              <w:rPr>
                <w:b/>
                <w:bCs/>
                <w:sz w:val="19"/>
                <w:u w:val="single"/>
              </w:rPr>
              <w:t>]]</w:t>
            </w:r>
            <w:r>
              <w:rPr>
                <w:sz w:val="19"/>
              </w:rPr>
              <w:t xml:space="preserve">  </w:t>
            </w:r>
            <w:r>
              <w:rPr>
                <w:i/>
                <w:iCs/>
                <w:sz w:val="19"/>
              </w:rPr>
              <w:t>as Appendix "1"</w:t>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Normal"/>
        <w:keepNext w:val="true"/>
        <w:tabs>
          <w:tab w:val="clear" w:pos="720"/>
          <w:tab w:val="right" w:pos="9360" w:leader="none"/>
        </w:tabs>
        <w:rPr>
          <w:sz w:val="18"/>
        </w:rPr>
      </w:pPr>
      <w:r>
        <w:rPr>
          <w:sz w:val="18"/>
        </w:rPr>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b/>
          <w:bCs/>
          <w:sz w:val="18"/>
          <w:u w:val="single"/>
        </w:rPr>
        <w:t>UBS AG</w:t>
      </w:r>
      <w:r>
        <w:rPr>
          <w:sz w:val="18"/>
          <w:u w:val="single"/>
        </w:rPr>
        <w:tab/>
        <w:tab/>
      </w:r>
      <w:r>
        <w:rPr>
          <w:sz w:val="18"/>
        </w:rPr>
        <w:tab/>
        <w:tab/>
      </w:r>
      <w:r>
        <w:rPr>
          <w:sz w:val="18"/>
          <w:u w:val="single"/>
        </w:rPr>
        <w:tab/>
        <w:tab/>
      </w:r>
      <w:r>
        <w:rPr>
          <w:sz w:val="18"/>
        </w:rPr>
        <w:br/>
        <w:tab/>
      </w:r>
      <w:r>
        <w:rPr>
          <w:i/>
          <w:sz w:val="18"/>
        </w:rPr>
        <w:t>(Party Name)</w:t>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pStyle w:val="Normal"/>
        <w:rPr>
          <w:sz w:val="20"/>
        </w:rPr>
      </w:pPr>
      <w:r>
        <w:rPr>
          <w:sz w:val="20"/>
        </w:rPr>
      </w:r>
    </w:p>
    <w:p>
      <w:pPr>
        <w:pStyle w:val="Normal"/>
        <w:rPr/>
      </w:pPr>
      <w:r>
        <w:rPr>
          <w:sz w:val="20"/>
        </w:rPr>
        <w:t xml:space="preserve">By </w:t>
      </w:r>
      <w:r>
        <w:rPr>
          <w:sz w:val="20"/>
          <w:u w:val="single"/>
        </w:rPr>
        <w:tab/>
        <w:tab/>
        <w:tab/>
        <w:tab/>
        <w:tab/>
        <w:tab/>
        <w:tab/>
      </w:r>
    </w:p>
    <w:p>
      <w:pPr>
        <w:pStyle w:val="Normal"/>
        <w:rPr/>
      </w:pPr>
      <w:r>
        <w:rPr>
          <w:sz w:val="20"/>
        </w:rPr>
        <w:t xml:space="preserve">Title </w:t>
      </w:r>
      <w:r>
        <w:rPr>
          <w:sz w:val="20"/>
          <w:u w:val="single"/>
        </w:rPr>
        <w:tab/>
        <w:tab/>
        <w:tab/>
        <w:tab/>
        <w:tab/>
        <w:tab/>
        <w:tab/>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u w:val="single"/>
        </w:rPr>
      </w:pPr>
      <w:r>
        <w:rPr>
          <w:sz w:val="20"/>
          <w:u w:val="single"/>
        </w:rPr>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2</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xml:space="preserve">, 2___ </w:t>
              <w:tab/>
              <w:t xml:space="preserve">End: </w:t>
            </w:r>
            <w:r>
              <w:rPr>
                <w:sz w:val="20"/>
                <w:u w:val="single"/>
              </w:rPr>
              <w:t>                   </w:t>
            </w:r>
            <w:r>
              <w:rPr>
                <w:sz w:val="20"/>
              </w:rPr>
              <w:t>, 2___</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EFP  </w:t>
            </w:r>
            <w:r>
              <w:rPr>
                <w:i/>
                <w:iCs/>
                <w:sz w:val="20"/>
              </w:rPr>
              <w:t>Yes or No:  ______</w:t>
            </w:r>
            <w:r>
              <w:rPr>
                <w:sz w:val="20"/>
              </w:rPr>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r>
            <w:r>
              <w:rPr>
                <w:bCs/>
                <w:i/>
                <w:iCs/>
                <w:sz w:val="20"/>
              </w:rPr>
              <w:t>UBS designates its London Branch for this transaction.</w:t>
            </w:r>
            <w:r>
              <w:rPr>
                <w:b/>
                <w:i/>
                <w:iCs/>
                <w:sz w:val="20"/>
              </w:rPr>
              <w:br/>
            </w:r>
            <w:r>
              <w:rPr>
                <w:b/>
                <w:sz w:val="20"/>
              </w:rP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sectPr>
          <w:footerReference w:type="default" r:id="rId5"/>
          <w:footerReference w:type="first" r:id="rId6"/>
          <w:type w:val="nextPage"/>
          <w:pgSz w:w="12240" w:h="15840"/>
          <w:pgMar w:left="720" w:right="720" w:gutter="0" w:header="0" w:top="720" w:footer="432" w:bottom="720"/>
          <w:pgNumType w:start="1" w:fmt="decimal"/>
          <w:formProt w:val="false"/>
          <w:textDirection w:val="lrTb"/>
          <w:docGrid w:type="default" w:linePitch="360" w:charSpace="0"/>
        </w:sectPr>
        <w:pStyle w:val="Normal"/>
        <w:ind w:firstLine="90" w:end="0"/>
        <w:rPr>
          <w:sz w:val="20"/>
        </w:rPr>
      </w:pPr>
      <w:r>
        <w:rPr>
          <w:sz w:val="20"/>
        </w:rPr>
      </w:r>
    </w:p>
    <w:p>
      <w:pPr>
        <w:pStyle w:val="Normal"/>
        <w:jc w:val="center"/>
        <w:rPr>
          <w:b/>
        </w:rPr>
      </w:pPr>
      <w:r>
        <w:rPr>
          <w:b/>
          <w:sz w:val="20"/>
        </w:rPr>
        <w:t>Appendix "1"</w:t>
      </w:r>
    </w:p>
    <w:p>
      <w:pPr>
        <w:pStyle w:val="Normal"/>
        <w:jc w:val="center"/>
        <w:rPr>
          <w:sz w:val="20"/>
        </w:rPr>
      </w:pPr>
      <w:r>
        <w:rPr>
          <w:b/>
          <w:sz w:val="20"/>
          <w:u w:val="single"/>
        </w:rPr>
        <w:t>Special Provisions</w:t>
      </w:r>
    </w:p>
    <w:p>
      <w:pPr>
        <w:pStyle w:val="Normal"/>
        <w:rPr>
          <w:sz w:val="20"/>
        </w:rPr>
      </w:pPr>
      <w:r>
        <w:rPr>
          <w:sz w:val="20"/>
        </w:rPr>
      </w:r>
    </w:p>
    <w:p>
      <w:pPr>
        <w:pStyle w:val="Normal"/>
        <w:jc w:val="both"/>
        <w:rPr/>
      </w:pPr>
      <w:r>
        <w:rPr>
          <w:sz w:val="20"/>
        </w:rPr>
        <w:t xml:space="preserve">The following Special Provisions shall govern and control over the foregoing provisions of this Base Contract and shall be considered incorporated therein for all purposes.  Any reference to this Base Contract shall include the following Special Provisions.  </w:t>
      </w:r>
      <w:r>
        <w:rPr>
          <w:b/>
          <w:bCs/>
          <w:sz w:val="20"/>
        </w:rPr>
        <w:t>Each party agrees that it will not enter into any Firm transaction under this Base Contract for a Delivery Period greater than 31 days and no transaction shall have any force and effect hereunder if the Delivery Period is greater than 31 Days.</w:t>
      </w:r>
    </w:p>
    <w:p>
      <w:pPr>
        <w:pStyle w:val="Normal"/>
        <w:jc w:val="both"/>
        <w:rPr>
          <w:b/>
          <w:bCs/>
          <w:sz w:val="20"/>
        </w:rPr>
      </w:pPr>
      <w:r>
        <w:rPr>
          <w:b/>
          <w:bCs/>
          <w:sz w:val="20"/>
        </w:rPr>
      </w:r>
    </w:p>
    <w:p>
      <w:pPr>
        <w:pStyle w:val="Normal"/>
        <w:jc w:val="both"/>
        <w:rPr/>
      </w:pPr>
      <w:r>
        <w:rPr>
          <w:b/>
          <w:bCs/>
          <w:sz w:val="20"/>
        </w:rPr>
        <w:t>Section 1.2.</w:t>
      </w:r>
      <w:r>
        <w:rPr>
          <w:sz w:val="20"/>
        </w:rPr>
        <w:t xml:space="preserve">  The fifth sentence of Section 1.2 is hereby amended by the deletion of the word "shall" after the words "Confirming Party" and the substitution of the word "may" therefor.  Section 1.2 is hereby amended by the deletion of the sixth sentence thereof.  Section 1.2 is hereby amended by the addition of the following provisions:</w:t>
      </w:r>
    </w:p>
    <w:p>
      <w:pPr>
        <w:pStyle w:val="Normal"/>
        <w:jc w:val="both"/>
        <w:rPr>
          <w:sz w:val="20"/>
        </w:rPr>
      </w:pPr>
      <w:r>
        <w:rPr>
          <w:sz w:val="20"/>
        </w:rPr>
      </w:r>
    </w:p>
    <w:p>
      <w:pPr>
        <w:pStyle w:val="Normal"/>
        <w:jc w:val="both"/>
        <w:rPr/>
      </w:pPr>
      <w:r>
        <w:rPr>
          <w:sz w:val="20"/>
        </w:rPr>
        <w:t>In addition to the foregoing Oral Transaction Procedure, UBS and Counterparty from time to time may engage in transactions pursuant to this Base Contract and the terms set forth in the internet-based electronic trading facility established by UBS (the "</w:t>
      </w:r>
      <w:r>
        <w:rPr>
          <w:sz w:val="20"/>
          <w:u w:val="single"/>
        </w:rPr>
        <w:t>Website</w:t>
      </w:r>
      <w:r>
        <w:rPr>
          <w:sz w:val="20"/>
        </w:rPr>
        <w:t>") submitted by Counterparty and accepted by UBS (each a transaction, and collectively, transactions under this Base Contract).  Each transaction shall be formed on the Website in an electronic manner whereby an offer and acceptance shall constitute the agreement of the parties subject to this Base Contract and all applicable long definitions of the products selected by the parties on the Website (the "</w:t>
      </w:r>
      <w:r>
        <w:rPr>
          <w:sz w:val="20"/>
          <w:u w:val="single"/>
        </w:rPr>
        <w:t>Long Product Definitions</w:t>
      </w:r>
      <w:r>
        <w:rPr>
          <w:sz w:val="20"/>
        </w:rPr>
        <w:t xml:space="preserve">"), which Long Product Definitions are incorporated as additional terms of the applicable transaction.  The Website terminology for the following definitions utilized in this Base Contract is shown in italics:  Contract Quantity </w:t>
      </w:r>
      <w:r>
        <w:rPr>
          <w:i/>
          <w:iCs/>
          <w:sz w:val="20"/>
        </w:rPr>
        <w:t>(Volume)</w:t>
      </w:r>
      <w:r>
        <w:rPr>
          <w:sz w:val="20"/>
        </w:rPr>
        <w:t>,</w:t>
      </w:r>
      <w:r>
        <w:rPr>
          <w:i/>
          <w:iCs/>
          <w:sz w:val="20"/>
        </w:rPr>
        <w:t xml:space="preserve"> </w:t>
      </w:r>
      <w:r>
        <w:rPr>
          <w:sz w:val="20"/>
        </w:rPr>
        <w:t>Delivery Point(s)</w:t>
      </w:r>
      <w:r>
        <w:rPr>
          <w:b/>
          <w:bCs/>
          <w:sz w:val="20"/>
        </w:rPr>
        <w:t xml:space="preserve"> </w:t>
      </w:r>
      <w:r>
        <w:rPr>
          <w:i/>
          <w:iCs/>
          <w:sz w:val="20"/>
        </w:rPr>
        <w:t>(Location)</w:t>
      </w:r>
      <w:r>
        <w:rPr>
          <w:sz w:val="20"/>
        </w:rPr>
        <w:t xml:space="preserve">, Delivery Period </w:t>
      </w:r>
      <w:r>
        <w:rPr>
          <w:i/>
          <w:iCs/>
          <w:sz w:val="20"/>
        </w:rPr>
        <w:t>(Reference Period, being the Effective Date through the Termination Date as set forth in the Long Product Definitions)</w:t>
      </w:r>
      <w:r>
        <w:rPr>
          <w:sz w:val="20"/>
        </w:rPr>
        <w:t xml:space="preserve">, and Contract Price </w:t>
      </w:r>
      <w:r>
        <w:rPr>
          <w:i/>
          <w:iCs/>
          <w:sz w:val="20"/>
        </w:rPr>
        <w:t>(Price)</w:t>
      </w:r>
      <w:r>
        <w:rPr>
          <w:sz w:val="20"/>
        </w:rPr>
        <w:t>.  All transactions under this Base Contract, whether transacted pursuant to the Oral Transaction Procedure or transacted on the Website, shall be considered transacted under a single master agreement.  In entering into any transaction under this Base Contract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any such transaction through its head or home office.</w:t>
      </w:r>
    </w:p>
    <w:p>
      <w:pPr>
        <w:pStyle w:val="Normal"/>
        <w:jc w:val="both"/>
        <w:rPr>
          <w:sz w:val="20"/>
        </w:rPr>
      </w:pPr>
      <w:r>
        <w:rPr>
          <w:sz w:val="20"/>
        </w:rPr>
      </w:r>
    </w:p>
    <w:p>
      <w:pPr>
        <w:pStyle w:val="Normal"/>
        <w:jc w:val="both"/>
        <w:rPr/>
      </w:pPr>
      <w:r>
        <w:rPr>
          <w:b/>
          <w:bCs/>
          <w:sz w:val="20"/>
        </w:rPr>
        <w:t>Section 1.3.</w:t>
      </w:r>
      <w:r>
        <w:rPr>
          <w:sz w:val="20"/>
        </w:rPr>
        <w:t xml:space="preserve">  Section 1.3 is hereby amended by the deletion of the third sentence thereof and the substitution of the following therefor: "If there are any material differences between timely sent Transaction Confirmations governing the same transaction, then (i) if the Oral Transaction Procedure applies, the oral agreement reached under Section 1.2 shall be controlling and satisfy the statute of frauds, howsoever evidenced by the parties, and (ii) if the transaction was transacted on the Website, the computer records of the transaction shall be controlling and satisfy the stature of frauds."</w:t>
      </w:r>
    </w:p>
    <w:p>
      <w:pPr>
        <w:pStyle w:val="Normal"/>
        <w:jc w:val="both"/>
        <w:rPr>
          <w:sz w:val="20"/>
        </w:rPr>
      </w:pPr>
      <w:r>
        <w:rPr>
          <w:sz w:val="20"/>
        </w:rPr>
      </w:r>
    </w:p>
    <w:p>
      <w:pPr>
        <w:pStyle w:val="Normal"/>
        <w:jc w:val="both"/>
        <w:rPr/>
      </w:pPr>
      <w:r>
        <w:rPr>
          <w:b/>
          <w:bCs/>
          <w:sz w:val="20"/>
        </w:rPr>
        <w:t>Section 2.24.</w:t>
      </w:r>
      <w:r>
        <w:rPr>
          <w:sz w:val="20"/>
        </w:rPr>
        <w:t xml:space="preserve">  Section 2.24 is hereby amended by the deletion of the last sentence thereof.  (See </w:t>
      </w:r>
      <w:r>
        <w:rPr>
          <w:sz w:val="20"/>
          <w:u w:val="single"/>
        </w:rPr>
        <w:t>Section 7</w:t>
      </w:r>
      <w:r>
        <w:rPr>
          <w:sz w:val="20"/>
        </w:rPr>
        <w:t xml:space="preserve"> Special Provisions.)</w:t>
      </w:r>
    </w:p>
    <w:p>
      <w:pPr>
        <w:pStyle w:val="Normal"/>
        <w:jc w:val="both"/>
        <w:rPr>
          <w:sz w:val="20"/>
        </w:rPr>
      </w:pPr>
      <w:r>
        <w:rPr>
          <w:sz w:val="20"/>
        </w:rPr>
      </w:r>
    </w:p>
    <w:p>
      <w:pPr>
        <w:pStyle w:val="Normal"/>
        <w:jc w:val="both"/>
        <w:rPr/>
      </w:pPr>
      <w:r>
        <w:rPr>
          <w:b/>
          <w:bCs/>
          <w:sz w:val="20"/>
        </w:rPr>
        <w:t>Section 2.25.</w:t>
      </w:r>
      <w:r>
        <w:rPr>
          <w:sz w:val="20"/>
        </w:rPr>
        <w:t xml:space="preserve">  Section 2.25 is hereby amended by the addition of the following prior to the closing period:  ", or the document setting forth the terms of any purchase and sale transaction transacted on the Website available to the parties on the Website, a printed version of which may be obtained from the Website."</w:t>
      </w:r>
    </w:p>
    <w:p>
      <w:pPr>
        <w:pStyle w:val="Normal"/>
        <w:jc w:val="both"/>
        <w:rPr>
          <w:sz w:val="20"/>
        </w:rPr>
      </w:pPr>
      <w:r>
        <w:rPr>
          <w:sz w:val="20"/>
        </w:rPr>
      </w:r>
    </w:p>
    <w:p>
      <w:pPr>
        <w:pStyle w:val="Normal"/>
        <w:jc w:val="both"/>
        <w:rPr/>
      </w:pPr>
      <w:r>
        <w:rPr>
          <w:b/>
          <w:bCs/>
          <w:sz w:val="20"/>
        </w:rPr>
        <w:t>Section 3.2.</w:t>
      </w:r>
      <w:r>
        <w:rPr>
          <w:sz w:val="20"/>
        </w:rPr>
        <w:t xml:space="preserve">  Section 3.2 is hereby amended by the addition of the following in the first sentence after the words "Imbalance Charges":  "and any other remedy expressly provided for in this Base Contract".</w:t>
      </w:r>
    </w:p>
    <w:p>
      <w:pPr>
        <w:pStyle w:val="BodyText"/>
        <w:rPr>
          <w:sz w:val="20"/>
        </w:rPr>
      </w:pPr>
      <w:r>
        <w:rPr>
          <w:sz w:val="20"/>
        </w:rPr>
      </w:r>
    </w:p>
    <w:p>
      <w:pPr>
        <w:pStyle w:val="Normal"/>
        <w:rPr/>
      </w:pPr>
      <w:r>
        <w:rPr>
          <w:b/>
          <w:bCs/>
          <w:sz w:val="20"/>
        </w:rPr>
        <w:t>Section 6.</w:t>
      </w:r>
      <w:r>
        <w:rPr>
          <w:sz w:val="20"/>
        </w:rPr>
        <w:t xml:space="preserve">  Section 6 is hereby amended by the addition of the following provisions:</w:t>
      </w:r>
    </w:p>
    <w:p>
      <w:pPr>
        <w:pStyle w:val="Normal"/>
        <w:rPr>
          <w:sz w:val="20"/>
        </w:rPr>
      </w:pPr>
      <w:r>
        <w:rPr>
          <w:sz w:val="20"/>
        </w:rPr>
      </w:r>
    </w:p>
    <w:p>
      <w:pPr>
        <w:pStyle w:val="Normal"/>
        <w:jc w:val="both"/>
        <w:rPr>
          <w:sz w:val="20"/>
        </w:rPr>
      </w:pPr>
      <w:r>
        <w:rPr>
          <w:sz w:val="20"/>
        </w:rPr>
        <w:t>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Taxes.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if any, without any deduction or withholding for or on account of any Taxes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w:t>
      </w:r>
    </w:p>
    <w:p>
      <w:pPr>
        <w:pStyle w:val="Normal"/>
        <w:jc w:val="both"/>
        <w:rPr>
          <w:sz w:val="20"/>
        </w:rPr>
      </w:pPr>
      <w:r>
        <w:rPr>
          <w:sz w:val="20"/>
        </w:rPr>
      </w:r>
    </w:p>
    <w:p>
      <w:pPr>
        <w:pStyle w:val="Normal"/>
        <w:jc w:val="both"/>
        <w:rPr/>
      </w:pPr>
      <w:r>
        <w:rPr>
          <w:b/>
          <w:bCs/>
          <w:sz w:val="20"/>
        </w:rPr>
        <w:t>Section 7.5.</w:t>
      </w:r>
      <w:r>
        <w:rPr>
          <w:sz w:val="20"/>
        </w:rPr>
        <w:t xml:space="preserve">  Section 7 is hereby amended by the addition of the following provisions as Section 7.5:</w:t>
      </w:r>
    </w:p>
    <w:p>
      <w:pPr>
        <w:pStyle w:val="Normal"/>
        <w:jc w:val="both"/>
        <w:rPr>
          <w:sz w:val="20"/>
        </w:rPr>
      </w:pPr>
      <w:r>
        <w:rPr>
          <w:sz w:val="20"/>
        </w:rPr>
      </w:r>
    </w:p>
    <w:p>
      <w:pPr>
        <w:pStyle w:val="Normal"/>
        <w:jc w:val="both"/>
        <w:rPr>
          <w:sz w:val="20"/>
        </w:rPr>
      </w:pPr>
      <w:r>
        <w:rPr>
          <w:sz w:val="20"/>
        </w:rPr>
        <w:t xml:space="preserve">If UBS and Counterparty are each required to pay an amount in the same month pursuant to transactions under this Base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Delivery Period and the Spot Price and/or the Contract Price for such day is not determinable, the Spot Price and/or the Contract Price for such day shall be determined pursuant to the relevant price source specified in this Base Contract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jc w:val="both"/>
        <w:rPr>
          <w:sz w:val="20"/>
        </w:rPr>
      </w:pPr>
      <w:r>
        <w:rPr>
          <w:sz w:val="20"/>
        </w:rPr>
        <w:t xml:space="preserve">  </w:t>
      </w:r>
    </w:p>
    <w:p>
      <w:pPr>
        <w:pStyle w:val="Normal"/>
        <w:jc w:val="both"/>
        <w:rPr/>
      </w:pPr>
      <w:r>
        <w:rPr>
          <w:sz w:val="20"/>
        </w:rPr>
        <w:t>"</w:t>
      </w:r>
      <w:r>
        <w:rPr>
          <w:sz w:val="20"/>
          <w:u w:val="single"/>
        </w:rPr>
        <w:t>Market Disruption Event</w:t>
      </w:r>
      <w:r>
        <w:rPr>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sz w:val="20"/>
          <w:u w:val="single"/>
        </w:rPr>
        <w:t>Exchange</w:t>
      </w:r>
      <w:r>
        <w:rPr>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rPr>
          <w:sz w:val="20"/>
        </w:rPr>
      </w:pPr>
      <w:r>
        <w:rPr>
          <w:sz w:val="20"/>
        </w:rPr>
      </w:r>
    </w:p>
    <w:p>
      <w:pPr>
        <w:pStyle w:val="Normal"/>
        <w:rPr/>
      </w:pPr>
      <w:r>
        <w:rPr>
          <w:b/>
          <w:bCs/>
          <w:sz w:val="20"/>
        </w:rPr>
        <w:t xml:space="preserve">Section 10.1. </w:t>
      </w:r>
      <w:r>
        <w:rPr>
          <w:sz w:val="20"/>
        </w:rPr>
        <w:t xml:space="preserve"> Section 10.1 is hereby amended by the deletion of the third sentence thereof.  </w:t>
      </w:r>
    </w:p>
    <w:p>
      <w:pPr>
        <w:pStyle w:val="Normal"/>
        <w:rPr>
          <w:sz w:val="20"/>
        </w:rPr>
      </w:pPr>
      <w:r>
        <w:rPr>
          <w:sz w:val="20"/>
        </w:rPr>
      </w:r>
    </w:p>
    <w:p>
      <w:pPr>
        <w:pStyle w:val="Normal"/>
        <w:rPr/>
      </w:pPr>
      <w:r>
        <w:rPr>
          <w:b/>
          <w:bCs/>
          <w:sz w:val="20"/>
        </w:rPr>
        <w:t>Section 10.2.</w:t>
      </w:r>
      <w:r>
        <w:rPr>
          <w:sz w:val="20"/>
        </w:rPr>
        <w:t xml:space="preserve">  Section 10.2 is hereby amended by the addition of the following provisions:</w:t>
      </w:r>
    </w:p>
    <w:p>
      <w:pPr>
        <w:pStyle w:val="Normal"/>
        <w:rPr>
          <w:sz w:val="20"/>
        </w:rPr>
      </w:pPr>
      <w:r>
        <w:rPr>
          <w:sz w:val="20"/>
        </w:rPr>
      </w:r>
    </w:p>
    <w:p>
      <w:pPr>
        <w:pStyle w:val="Normal"/>
        <w:tabs>
          <w:tab w:val="clear" w:pos="720"/>
          <w:tab w:val="left" w:pos="810" w:leader="none"/>
          <w:tab w:val="left" w:pos="1170" w:leader="none"/>
        </w:tabs>
        <w:jc w:val="both"/>
        <w:rPr/>
      </w:pPr>
      <w:r>
        <w:rPr>
          <w:sz w:val="20"/>
        </w:rPr>
        <w:t>In addition, upon the designation of an Early Termination Date, the non-defaulting party ("</w:t>
      </w:r>
      <w:r>
        <w:rPr>
          <w:sz w:val="20"/>
          <w:u w:val="single"/>
        </w:rPr>
        <w:t>X</w:t>
      </w:r>
      <w:r>
        <w:rPr>
          <w:sz w:val="20"/>
        </w:rPr>
        <w:t>") may, at its option and in its discretion, setoff, against any amounts Owed to the Defaulting Party ("</w:t>
      </w:r>
      <w:r>
        <w:rPr>
          <w:sz w:val="20"/>
          <w:u w:val="single"/>
        </w:rPr>
        <w:t>Y</w:t>
      </w:r>
      <w:r>
        <w:rPr>
          <w:sz w:val="20"/>
        </w:rPr>
        <w:t>") in US dollars or any other currency by X or any Affiliate of X under this Contract, or under any other agreement(s), instrument(s) or undertaking(s), any amounts Owed in US dollars or any other currency by Y to X or any of X's Affiliates under this Contract, or under any other agreement(s), instrument(s) or undertaking(s).  The obligations of Y and X under this Contract in respect of such amounts shall be deemed satisfied and discharged to the extent of any such setoff exercised by X and/or X's Affiliates.  X will give Y notice of any setoff effected as soon as practicable after the setoff is effected provided that failure to give such notice shall not affect the validity of the setoff.  Amounts subject to the setoff permitted hereunder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Base Contract on behalf of itself as principal and, with respect to this provision, as agent on behalf of its Affiliates, which Affiliates shall receive the benefits of this provision and otherwise be bound as if such Affiliates had entered into this Base Contract as its relates to this provision.  Notwithstanding any provision to the contrary contained in this Base Contract, the non-defaulting party shall not be required to pay to the Defaulting Party any amount hereunder until the non-defaulting party receives confirmation satisfactory to it in its reasonable discretion (which may include an opinion of its counsel) that all other obligations of any kind whatsoever of Defaulting Party to make any payments to the non-defaulting party under this Contract, or any other agreement(s), instrument(s) or undertaking(s), which are Owed as of the Early Termination Date have been fully and finally satisfied.</w:t>
      </w:r>
    </w:p>
    <w:p>
      <w:pPr>
        <w:pStyle w:val="Normal"/>
        <w:tabs>
          <w:tab w:val="clear" w:pos="720"/>
          <w:tab w:val="left" w:pos="810" w:leader="none"/>
          <w:tab w:val="left" w:pos="1170" w:leader="none"/>
        </w:tabs>
        <w:jc w:val="both"/>
        <w:rPr>
          <w:sz w:val="20"/>
        </w:rPr>
      </w:pPr>
      <w:r>
        <w:rPr>
          <w:sz w:val="20"/>
        </w:rPr>
      </w:r>
    </w:p>
    <w:p>
      <w:pPr>
        <w:pStyle w:val="Normal"/>
        <w:jc w:val="both"/>
        <w:rPr/>
      </w:pPr>
      <w:r>
        <w:rPr>
          <w:sz w:val="20"/>
        </w:rPr>
        <w:t>"</w:t>
      </w:r>
      <w:r>
        <w:rPr>
          <w:sz w:val="20"/>
          <w:u w:val="single"/>
        </w:rPr>
        <w:t>Affiliate</w:t>
      </w:r>
      <w:r>
        <w:rPr>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tabs>
          <w:tab w:val="clear" w:pos="720"/>
          <w:tab w:val="left" w:pos="810" w:leader="none"/>
          <w:tab w:val="left" w:pos="1170" w:leader="none"/>
        </w:tabs>
        <w:jc w:val="both"/>
        <w:rPr>
          <w:sz w:val="20"/>
        </w:rPr>
      </w:pPr>
      <w:r>
        <w:rPr>
          <w:sz w:val="20"/>
        </w:rPr>
      </w:r>
    </w:p>
    <w:p>
      <w:pPr>
        <w:pStyle w:val="Normal"/>
        <w:jc w:val="both"/>
        <w:rPr/>
      </w:pPr>
      <w:r>
        <w:rPr>
          <w:sz w:val="20"/>
        </w:rPr>
        <w:t>"</w:t>
      </w:r>
      <w:r>
        <w:rPr>
          <w:sz w:val="20"/>
          <w:u w:val="single"/>
        </w:rPr>
        <w:t>Owed</w:t>
      </w:r>
      <w:r>
        <w:rPr>
          <w:sz w:val="20"/>
        </w:rPr>
        <w:t xml:space="preserve">" means any amounts owed or otherwise accrued and payable (regardless of whether such amounts have been or could be invoiced) as of the Early Termination Date.  </w:t>
      </w:r>
    </w:p>
    <w:p>
      <w:pPr>
        <w:pStyle w:val="Normal"/>
        <w:tabs>
          <w:tab w:val="clear" w:pos="720"/>
          <w:tab w:val="left" w:pos="810" w:leader="none"/>
          <w:tab w:val="left" w:pos="1170" w:leader="none"/>
        </w:tabs>
        <w:jc w:val="both"/>
        <w:rPr>
          <w:sz w:val="20"/>
        </w:rPr>
      </w:pPr>
      <w:r>
        <w:rPr>
          <w:sz w:val="20"/>
        </w:rPr>
      </w:r>
    </w:p>
    <w:p>
      <w:pPr>
        <w:pStyle w:val="Normal"/>
        <w:jc w:val="both"/>
        <w:rPr/>
      </w:pPr>
      <w:r>
        <w:rPr>
          <w:b/>
          <w:bCs/>
          <w:sz w:val="20"/>
        </w:rPr>
        <w:t>Section 10.3.</w:t>
      </w:r>
      <w:r>
        <w:rPr>
          <w:sz w:val="20"/>
        </w:rPr>
        <w:t xml:space="preserve">  Section 10 is hereby amended by the addition of the following provisions as Section 10.3:</w:t>
      </w:r>
    </w:p>
    <w:p>
      <w:pPr>
        <w:pStyle w:val="Normal"/>
        <w:rPr>
          <w:sz w:val="20"/>
        </w:rPr>
      </w:pPr>
      <w:r>
        <w:rPr>
          <w:sz w:val="20"/>
        </w:rPr>
      </w:r>
    </w:p>
    <w:p>
      <w:pPr>
        <w:pStyle w:val="Normal"/>
        <w:jc w:val="both"/>
        <w:rPr/>
      </w:pPr>
      <w:r>
        <w:rPr>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sz w:val="20"/>
          <w:u w:val="single"/>
        </w:rPr>
        <w:t>Early Termination Date</w:t>
      </w:r>
      <w:r>
        <w:rPr>
          <w:sz w:val="20"/>
        </w:rPr>
        <w:t>").  On the Early Termination Date the obligations under all transactions with respect to all Delivery Periods that would have ended on or after the Early Termination Date shall be terminated.  On or as soon as reasonably practicable following the occurrence of an Early Termination Date, the non-defaulting party shall in good faith calculate the Losses resulting from the termination of the parties' obligations under all transactions (the "</w:t>
      </w:r>
      <w:r>
        <w:rPr>
          <w:sz w:val="20"/>
          <w:u w:val="single"/>
        </w:rPr>
        <w:t>Termination Payment</w:t>
      </w:r>
      <w:r>
        <w:rPr>
          <w:sz w:val="20"/>
        </w:rPr>
        <w:t xml:space="preserve">") and promptly notify the Defaulting Party thereof.  If the Termination Payment is a positive amount the Defaulting Party shall, within five Business Days of receipt of notice, pay the Termination Payment to the non-defaulting party, which Termination Payment shall accrue interest at the interest rate set forth in </w:t>
      </w:r>
      <w:r>
        <w:rPr>
          <w:sz w:val="20"/>
          <w:u w:val="single"/>
        </w:rPr>
        <w:t>Section 7.2</w:t>
      </w:r>
      <w:r>
        <w:rPr>
          <w:sz w:val="20"/>
        </w:rPr>
        <w:t xml:space="preserve"> from the Early Termination Date until paid.  If the Termination Payment is a negative amount, subject to the rights of setoff set forth herein, the non-defaulting party shall pay the absolute value of the Termination Payment to the Defaulting Party within five Business Days of such determination.  </w:t>
      </w:r>
    </w:p>
    <w:p>
      <w:pPr>
        <w:pStyle w:val="Normal"/>
        <w:rPr>
          <w:sz w:val="20"/>
        </w:rPr>
      </w:pPr>
      <w:r>
        <w:rPr>
          <w:sz w:val="20"/>
        </w:rPr>
      </w:r>
    </w:p>
    <w:p>
      <w:pPr>
        <w:pStyle w:val="Normal"/>
        <w:jc w:val="both"/>
        <w:rPr/>
      </w:pPr>
      <w:r>
        <w:rPr>
          <w:sz w:val="20"/>
        </w:rPr>
        <w:t>"</w:t>
      </w:r>
      <w:r>
        <w:rPr>
          <w:sz w:val="20"/>
          <w:u w:val="single"/>
        </w:rPr>
        <w:t>Bankruptcy Event</w:t>
      </w:r>
      <w:r>
        <w:rPr>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rPr>
          <w:sz w:val="20"/>
        </w:rPr>
      </w:pPr>
      <w:r>
        <w:rPr>
          <w:sz w:val="20"/>
        </w:rPr>
      </w:r>
    </w:p>
    <w:p>
      <w:pPr>
        <w:pStyle w:val="Normal"/>
        <w:jc w:val="both"/>
        <w:rPr/>
      </w:pPr>
      <w:r>
        <w:rPr>
          <w:sz w:val="20"/>
        </w:rPr>
        <w:t>"</w:t>
      </w:r>
      <w:r>
        <w:rPr>
          <w:sz w:val="20"/>
          <w:u w:val="single"/>
        </w:rPr>
        <w:t>Code</w:t>
      </w:r>
      <w:r>
        <w:rPr>
          <w:sz w:val="20"/>
        </w:rPr>
        <w:t>" means the United States Bankruptcy Code, 11 U.S.C. Secs. 101-1330, as may be amended from time to time.</w:t>
      </w:r>
    </w:p>
    <w:p>
      <w:pPr>
        <w:pStyle w:val="Normal"/>
        <w:rPr>
          <w:sz w:val="20"/>
        </w:rPr>
      </w:pPr>
      <w:r>
        <w:rPr>
          <w:sz w:val="20"/>
        </w:rPr>
      </w:r>
    </w:p>
    <w:p>
      <w:pPr>
        <w:pStyle w:val="Normal"/>
        <w:jc w:val="both"/>
        <w:rPr>
          <w:sz w:val="20"/>
        </w:rPr>
      </w:pPr>
      <w:r>
        <w:rPr>
          <w:sz w:val="20"/>
        </w:rPr>
        <w:t>"</w:t>
      </w:r>
      <w:r>
        <w:rPr>
          <w:sz w:val="20"/>
          <w:u w:val="single"/>
        </w:rPr>
        <w:t>Event of Default</w:t>
      </w:r>
      <w:r>
        <w:rPr>
          <w:sz w:val="20"/>
        </w:rPr>
        <w:t>" means with respect to a party (the "</w:t>
      </w:r>
      <w:r>
        <w:rPr>
          <w:sz w:val="20"/>
          <w:u w:val="single"/>
        </w:rPr>
        <w:t>Defaulting Party</w:t>
      </w:r>
      <w:r>
        <w:rPr>
          <w:sz w:val="20"/>
        </w:rPr>
        <w:t xml:space="preserve">") any of the following:  (i) the failure by the Defaulting Party to make, when due, any payment required hereunder if such failure is not remedied within three Business Days after notice of such failure is given to the Defaulting Party; (ii) if </w:t>
      </w:r>
      <w:r>
        <w:rPr>
          <w:sz w:val="20"/>
          <w:u w:val="single"/>
        </w:rPr>
        <w:t>Section 14</w:t>
      </w:r>
      <w:r>
        <w:rPr>
          <w:sz w:val="20"/>
        </w:rPr>
        <w:t xml:space="preserve"> is included in the Special Provisions of this Base Contract, the failure by the Defaulting Party to provide credit support pursuant to </w:t>
      </w:r>
      <w:r>
        <w:rPr>
          <w:sz w:val="20"/>
          <w:u w:val="single"/>
        </w:rPr>
        <w:t>Section 14</w:t>
      </w:r>
      <w:r>
        <w:rPr>
          <w:sz w:val="20"/>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Base Contract; (vi) a Bankruptcy Event occurs with respect to the Defaulting Party; (vii) a Merger Event occurs with respect to the Defaulting Party; (viii) an event of default occurs (howsoever determined) with respect to the Defaulting Party under any 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 (ix) if </w:t>
      </w:r>
      <w:r>
        <w:rPr>
          <w:sz w:val="20"/>
          <w:u w:val="single"/>
        </w:rPr>
        <w:t>Section 14</w:t>
      </w:r>
      <w:r>
        <w:rPr>
          <w:sz w:val="20"/>
        </w:rPr>
        <w:t xml:space="preserve"> is included in the Special Provisions of this Base Contract, the guarantor of the Defaulting Party fails to perform any covenant set forth in any guaranty agreement provided pursuant to </w:t>
      </w:r>
      <w:r>
        <w:rPr>
          <w:sz w:val="20"/>
          <w:u w:val="single"/>
        </w:rPr>
        <w:t>Section 14</w:t>
      </w:r>
      <w:r>
        <w:rPr>
          <w:sz w:val="20"/>
        </w:rPr>
        <w:t>, any representation or warranty made by the guarantor in such guaranty agreement shall prove to have been false or misleading in any material respect when made, the guarantor</w:t>
      </w:r>
      <w:r>
        <w:rPr>
          <w:sz w:val="20"/>
          <w:szCs w:val="22"/>
        </w:rPr>
        <w:t xml:space="preserve"> disaffirms, disclaims, repudiates or rejects, in whole or in part, or challenges the validity of, any such guaranty agreement, </w:t>
      </w:r>
      <w:r>
        <w:rPr>
          <w:sz w:val="20"/>
        </w:rPr>
        <w:t xml:space="preserve">or the guarantor takes or suffers any actions set forth in items (vi) or (vii) above as applied to it; (x) if </w:t>
      </w:r>
      <w:r>
        <w:rPr>
          <w:sz w:val="20"/>
          <w:u w:val="single"/>
        </w:rPr>
        <w:t>Section 14</w:t>
      </w:r>
      <w:r>
        <w:rPr>
          <w:sz w:val="20"/>
        </w:rPr>
        <w:t xml:space="preserve"> is included in the Special Provisions of this Base Contract, </w:t>
      </w:r>
      <w:r>
        <w:rPr>
          <w:sz w:val="20"/>
          <w:szCs w:val="22"/>
        </w:rPr>
        <w:t xml:space="preserve">the issuer of a Letter of Credit (defined in </w:t>
      </w:r>
      <w:r>
        <w:rPr>
          <w:sz w:val="20"/>
          <w:szCs w:val="22"/>
          <w:u w:val="single"/>
        </w:rPr>
        <w:t>Section 14</w:t>
      </w:r>
      <w:r>
        <w:rPr>
          <w:sz w:val="20"/>
          <w:szCs w:val="22"/>
        </w:rPr>
        <w:t xml:space="preserve">) provided pursuant to </w:t>
      </w:r>
      <w:r>
        <w:rPr>
          <w:sz w:val="20"/>
          <w:szCs w:val="22"/>
          <w:u w:val="single"/>
        </w:rPr>
        <w:t>Section 14</w:t>
      </w:r>
      <w:r>
        <w:rPr>
          <w:sz w:val="20"/>
          <w:szCs w:val="22"/>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w:t>
      </w:r>
      <w:r>
        <w:rPr>
          <w:sz w:val="20"/>
        </w:rPr>
        <w:t>r takes or suffers any actions set forth in item (vi) above as applied to it,</w:t>
      </w:r>
      <w:r>
        <w:rPr>
          <w:sz w:val="20"/>
          <w:szCs w:val="22"/>
        </w:rPr>
        <w:t xml:space="preserve"> or such Letter of Credit expires or terminates or fails or ceases to be in full force and effect at any time during the term of the Transaction for which it is issued without having been replaced, or such issuer fails to maintain the Rating Level (defined in </w:t>
      </w:r>
      <w:r>
        <w:rPr>
          <w:sz w:val="20"/>
          <w:szCs w:val="22"/>
          <w:u w:val="single"/>
        </w:rPr>
        <w:t>Section 14</w:t>
      </w:r>
      <w:r>
        <w:rPr>
          <w:sz w:val="20"/>
          <w:szCs w:val="22"/>
        </w:rPr>
        <w:t>) without the Letter of Credit having been replaced by another issuer satisfactory to UBS; or (xi) an event of default occurs (howsoever determined) with respect to UBS, as Defaulting Party, or Counterparty, or guarantor of Counterparty,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rPr>
          <w:sz w:val="20"/>
        </w:rPr>
      </w:pPr>
      <w:r>
        <w:rPr>
          <w:sz w:val="20"/>
        </w:rPr>
      </w:r>
    </w:p>
    <w:p>
      <w:pPr>
        <w:pStyle w:val="Normal"/>
        <w:jc w:val="both"/>
        <w:rPr/>
      </w:pPr>
      <w:r>
        <w:rPr>
          <w:sz w:val="20"/>
        </w:rPr>
        <w:t>"</w:t>
      </w:r>
      <w:r>
        <w:rPr>
          <w:sz w:val="20"/>
          <w:u w:val="single"/>
        </w:rPr>
        <w:t>Losses</w:t>
      </w:r>
      <w:r>
        <w:rPr>
          <w:sz w:val="20"/>
        </w:rPr>
        <w:t xml:space="preserve">" means, with respect to the non-defaulting party, (i) all penalties and cashout costs and losses charged by any transporter in respect of all terminated transactions, (ii) the amount determined pursuant to the </w:t>
      </w:r>
      <w:r>
        <w:rPr>
          <w:sz w:val="20"/>
          <w:u w:val="single"/>
        </w:rPr>
        <w:t>Section 3.2</w:t>
      </w:r>
      <w:r>
        <w:rPr>
          <w:sz w:val="20"/>
        </w:rPr>
        <w:t xml:space="preserve"> Spot Price Standard in respect of all Firm obligations, and (iii) all amounts then otherwise payable to it hereunder less all amounts then otherwise payable by the non-defaulting party to the Defaulting Party hereunder.  </w:t>
      </w:r>
    </w:p>
    <w:p>
      <w:pPr>
        <w:pStyle w:val="Normal"/>
        <w:rPr>
          <w:sz w:val="20"/>
        </w:rPr>
      </w:pPr>
      <w:r>
        <w:rPr>
          <w:sz w:val="20"/>
        </w:rPr>
      </w:r>
    </w:p>
    <w:p>
      <w:pPr>
        <w:pStyle w:val="Normal"/>
        <w:jc w:val="both"/>
        <w:rPr/>
      </w:pPr>
      <w:r>
        <w:rPr>
          <w:sz w:val="20"/>
        </w:rPr>
        <w:t>"</w:t>
      </w:r>
      <w:r>
        <w:rPr>
          <w:sz w:val="20"/>
          <w:u w:val="single"/>
        </w:rPr>
        <w:t>Merger Event</w:t>
      </w:r>
      <w:r>
        <w:rPr>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if </w:t>
      </w:r>
      <w:r>
        <w:rPr>
          <w:sz w:val="20"/>
          <w:u w:val="single"/>
        </w:rPr>
        <w:t>Section 14</w:t>
      </w:r>
      <w:r>
        <w:rPr>
          <w:sz w:val="20"/>
        </w:rPr>
        <w:t xml:space="preserve"> is included in the Special Provisions of this Base Contract, the benefits of any credit support provided pursuant to </w:t>
      </w:r>
      <w:r>
        <w:rPr>
          <w:sz w:val="20"/>
          <w:u w:val="single"/>
        </w:rPr>
        <w:t>Section 14</w:t>
      </w:r>
      <w:r>
        <w:rPr>
          <w:sz w:val="20"/>
        </w:rPr>
        <w:t xml:space="preserve"> fail to extend to the performance by such resulting, surviving or transferee entity of its obligations hereunder or (iii) the resulting entity's creditworthiness is materially weaker than that of such party or other entity immediately prior to such action. </w:t>
      </w:r>
    </w:p>
    <w:p>
      <w:pPr>
        <w:pStyle w:val="Normal"/>
        <w:rPr>
          <w:sz w:val="20"/>
        </w:rPr>
      </w:pPr>
      <w:r>
        <w:rPr>
          <w:sz w:val="20"/>
        </w:rPr>
      </w:r>
    </w:p>
    <w:p>
      <w:pPr>
        <w:pStyle w:val="Normal"/>
        <w:jc w:val="both"/>
        <w:rPr/>
      </w:pPr>
      <w:r>
        <w:rPr>
          <w:sz w:val="20"/>
        </w:rPr>
        <w:t>"</w:t>
      </w:r>
      <w:r>
        <w:rPr>
          <w:sz w:val="20"/>
          <w:u w:val="single"/>
        </w:rPr>
        <w:t>Threshold Amount</w:t>
      </w:r>
      <w:r>
        <w:rPr>
          <w:sz w:val="20"/>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rPr>
          <w:sz w:val="20"/>
        </w:rPr>
      </w:pPr>
      <w:r>
        <w:rPr>
          <w:sz w:val="20"/>
        </w:rPr>
      </w:r>
    </w:p>
    <w:p>
      <w:pPr>
        <w:pStyle w:val="Normal"/>
        <w:ind w:hanging="360" w:start="360" w:end="0"/>
        <w:jc w:val="both"/>
        <w:rPr/>
      </w:pPr>
      <w:r>
        <w:rPr>
          <w:b/>
          <w:bCs/>
          <w:sz w:val="20"/>
        </w:rPr>
        <w:t>Section 11.1.</w:t>
      </w:r>
      <w:r>
        <w:rPr>
          <w:sz w:val="20"/>
        </w:rPr>
        <w:t xml:space="preserve">  Section 11.1 is hereby amended by the deletion of the second sentence thereof.</w:t>
      </w:r>
    </w:p>
    <w:p>
      <w:pPr>
        <w:pStyle w:val="Normal"/>
        <w:ind w:start="360" w:end="0"/>
        <w:jc w:val="both"/>
        <w:rPr>
          <w:sz w:val="22"/>
        </w:rPr>
      </w:pPr>
      <w:r>
        <w:rPr>
          <w:sz w:val="22"/>
        </w:rPr>
      </w:r>
    </w:p>
    <w:p>
      <w:pPr>
        <w:pStyle w:val="BodyTextIndent"/>
        <w:ind w:start="0" w:end="0"/>
        <w:rPr/>
      </w:pPr>
      <w:r>
        <w:rPr>
          <w:rFonts w:cs="Times New Roman" w:ascii="Times New Roman" w:hAnsi="Times New Roman"/>
          <w:b/>
          <w:bCs/>
          <w:sz w:val="20"/>
        </w:rPr>
        <w:t>Section 11.2.</w:t>
      </w:r>
      <w:r>
        <w:rPr>
          <w:rFonts w:cs="Times New Roman" w:ascii="Times New Roman" w:hAnsi="Times New Roman"/>
          <w:sz w:val="20"/>
        </w:rPr>
        <w:t xml:space="preserve">  Section 11.2 is hereby amended by the deletion thereof and the substitution of the following provisions therefor:  "</w:t>
      </w:r>
      <w:r>
        <w:rPr>
          <w:rFonts w:cs="Times New Roman" w:ascii="Times New Roman" w:hAnsi="Times New Roman"/>
          <w:sz w:val="20"/>
          <w:u w:val="single"/>
        </w:rPr>
        <w:t>Force Majeure</w:t>
      </w:r>
      <w:r>
        <w:rPr>
          <w:rFonts w:cs="Times New Roman" w:ascii="Times New Roman" w:hAnsi="Times New Roman"/>
          <w:sz w:val="20"/>
        </w:rPr>
        <w:t xml:space="preserv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jc w:val="both"/>
        <w:rPr>
          <w:rFonts w:ascii="Times New Roman" w:hAnsi="Times New Roman" w:cs="Times New Roman"/>
          <w:sz w:val="20"/>
        </w:rPr>
      </w:pPr>
      <w:r>
        <w:rPr>
          <w:rFonts w:cs="Times New Roman"/>
          <w:sz w:val="20"/>
        </w:rPr>
      </w:r>
    </w:p>
    <w:p>
      <w:pPr>
        <w:pStyle w:val="Normal"/>
        <w:tabs>
          <w:tab w:val="clear" w:pos="720"/>
          <w:tab w:val="left" w:pos="360" w:leader="none"/>
        </w:tabs>
        <w:jc w:val="both"/>
        <w:rPr/>
      </w:pPr>
      <w:r>
        <w:rPr>
          <w:b/>
          <w:bCs/>
          <w:sz w:val="20"/>
        </w:rPr>
        <w:t xml:space="preserve">Section 13.1.  </w:t>
      </w:r>
      <w:r>
        <w:rPr>
          <w:sz w:val="20"/>
        </w:rPr>
        <w:t xml:space="preserve">Section 13.1 is hereby amended by the deletion of the second sentence thereof and the substitution of the following therefor:  "Neither party shall have the power to assign or otherwise transfer all or any of its rights or obligations under this Base Contract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if </w:t>
      </w:r>
      <w:r>
        <w:rPr>
          <w:sz w:val="20"/>
          <w:u w:val="single"/>
        </w:rPr>
        <w:t>Section 14</w:t>
      </w:r>
      <w:r>
        <w:rPr>
          <w:sz w:val="20"/>
        </w:rPr>
        <w:t xml:space="preserve"> is included in the Special Provisions of this Base Contract, any guaranty or other credit support arrangement provided pursuant to </w:t>
      </w:r>
      <w:r>
        <w:rPr>
          <w:sz w:val="20"/>
          <w:u w:val="single"/>
        </w:rPr>
        <w:t>Section 14</w:t>
      </w:r>
      <w:r>
        <w:rPr>
          <w:sz w:val="20"/>
        </w:rPr>
        <w:t xml:space="preserve"> continues to extend to the performance of the Affiliate assignee.  Any purported assignment in violation of this provision shall be void and of no force and effect." </w:t>
      </w:r>
    </w:p>
    <w:p>
      <w:pPr>
        <w:pStyle w:val="Normal"/>
        <w:jc w:val="both"/>
        <w:rPr>
          <w:sz w:val="20"/>
        </w:rPr>
      </w:pPr>
      <w:r>
        <w:rPr>
          <w:sz w:val="20"/>
        </w:rPr>
      </w:r>
    </w:p>
    <w:p>
      <w:pPr>
        <w:pStyle w:val="Normal"/>
        <w:jc w:val="both"/>
        <w:rPr/>
      </w:pPr>
      <w:r>
        <w:rPr>
          <w:b/>
          <w:bCs/>
          <w:sz w:val="20"/>
        </w:rPr>
        <w:t>Section 13.5.</w:t>
      </w:r>
      <w:r>
        <w:rPr>
          <w:sz w:val="20"/>
        </w:rPr>
        <w:t xml:space="preserve">  Section 13.5 is hereby amended by the deletion thereof and the substitution of the following provisions therefor:  "This Base Contract, all transactions and Transaction Confirmations and the rights and duties of the parties arising therefrom shall be governed by, interpreted and construed in accordance with the laws of the State of New York (without reference to choice of law doctrine).  With respect to any suit, action or proceedings relating to the foregoing ("</w:t>
      </w:r>
      <w:r>
        <w:rPr>
          <w:sz w:val="20"/>
          <w:u w:val="single"/>
        </w:rPr>
        <w:t>Proceedings</w:t>
      </w:r>
      <w:r>
        <w:rPr>
          <w:sz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b/>
          <w:bCs/>
          <w:sz w:val="18"/>
        </w:rPr>
        <w:t>EACH PARTY HEREBY IRREVOCABLY WAIVES AND ALL RIGHT TO TRIAL BY JURY IN ANY SUIT, ACTION OR PROCEEDING ARISING OUT OF OR RELATING TO THIS BASE CONTRACT OR ANY TRANSACTION AND ACKNOWLEDGES THAT THIS WAIVER IS A MATERIAL INDUCEMENT TO THE OTHER PARTY'S ENTERING INTO THIS BASE CONTRACT."</w:t>
      </w:r>
    </w:p>
    <w:p>
      <w:pPr>
        <w:pStyle w:val="Normal"/>
        <w:jc w:val="both"/>
        <w:rPr>
          <w:b/>
          <w:bCs/>
          <w:sz w:val="20"/>
        </w:rPr>
      </w:pPr>
      <w:r>
        <w:rPr>
          <w:b/>
          <w:bCs/>
          <w:sz w:val="20"/>
        </w:rPr>
      </w:r>
    </w:p>
    <w:p>
      <w:pPr>
        <w:pStyle w:val="Normal"/>
        <w:jc w:val="both"/>
        <w:rPr/>
      </w:pPr>
      <w:r>
        <w:rPr>
          <w:b/>
          <w:bCs/>
          <w:sz w:val="20"/>
        </w:rPr>
        <w:t>Section 13.9.</w:t>
      </w:r>
      <w:r>
        <w:rPr>
          <w:sz w:val="20"/>
        </w:rPr>
        <w:t xml:space="preserve">  Section 13 is hereby amended by the addition of the following provisions as Section 13.9:</w:t>
      </w:r>
    </w:p>
    <w:p>
      <w:pPr>
        <w:pStyle w:val="Normal"/>
        <w:jc w:val="both"/>
        <w:rPr>
          <w:sz w:val="20"/>
        </w:rPr>
      </w:pPr>
      <w:r>
        <w:rPr>
          <w:sz w:val="20"/>
        </w:rPr>
      </w:r>
    </w:p>
    <w:p>
      <w:pPr>
        <w:pStyle w:val="Normal"/>
        <w:tabs>
          <w:tab w:val="clear" w:pos="720"/>
          <w:tab w:val="left" w:pos="810" w:leader="none"/>
          <w:tab w:val="left" w:pos="1170" w:leader="none"/>
        </w:tabs>
        <w:jc w:val="both"/>
        <w:rPr>
          <w:sz w:val="20"/>
        </w:rPr>
      </w:pPr>
      <w:r>
        <w:rPr>
          <w:sz w:val="20"/>
        </w:rPr>
        <w:t xml:space="preserve">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advisor to it in respect of that transaction.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b/>
          <w:bCs/>
          <w:sz w:val="20"/>
        </w:rPr>
        <w:t>Section 13.10.</w:t>
      </w:r>
      <w:r>
        <w:rPr>
          <w:sz w:val="20"/>
        </w:rPr>
        <w:t xml:space="preserve">  Section 13 is hereby amended by the addition of the following provisions as Section 13.10:</w:t>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sz w:val="20"/>
        </w:rPr>
      </w:pPr>
      <w:r>
        <w:rPr>
          <w:sz w:val="20"/>
        </w:rPr>
        <w:t>The contents of the transactions and all other documents relating to this Base Contract, if any, and any information made available by a party or any guarantor of a party, if any, to the other party with respect to this Base Contract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tabs>
          <w:tab w:val="clear" w:pos="720"/>
          <w:tab w:val="left" w:pos="810" w:leader="none"/>
          <w:tab w:val="left" w:pos="1170" w:leader="none"/>
        </w:tabs>
        <w:jc w:val="both"/>
        <w:rPr>
          <w:sz w:val="20"/>
        </w:rPr>
      </w:pPr>
      <w:r>
        <w:rPr>
          <w:sz w:val="20"/>
        </w:rPr>
      </w:r>
    </w:p>
    <w:p>
      <w:pPr>
        <w:pStyle w:val="Normal"/>
        <w:jc w:val="both"/>
        <w:rPr/>
      </w:pPr>
      <w:r>
        <w:rPr>
          <w:b/>
          <w:bCs/>
          <w:sz w:val="20"/>
        </w:rPr>
        <w:t>Section 13.11.</w:t>
      </w:r>
      <w:r>
        <w:rPr>
          <w:sz w:val="20"/>
        </w:rPr>
        <w:t xml:space="preserve">  Section 13 is hereby amended by the addition of the following provisions as Section 13.11:</w:t>
      </w:r>
    </w:p>
    <w:p>
      <w:pPr>
        <w:pStyle w:val="Normal"/>
        <w:jc w:val="both"/>
        <w:rPr>
          <w:sz w:val="20"/>
        </w:rPr>
      </w:pPr>
      <w:r>
        <w:rPr>
          <w:sz w:val="20"/>
        </w:rPr>
      </w:r>
    </w:p>
    <w:p>
      <w:pPr>
        <w:pStyle w:val="Normal"/>
        <w:tabs>
          <w:tab w:val="clear" w:pos="720"/>
          <w:tab w:val="left" w:pos="360" w:leader="none"/>
        </w:tabs>
        <w:jc w:val="both"/>
        <w:rPr>
          <w:color w:val="000000"/>
          <w:sz w:val="20"/>
        </w:rPr>
      </w:pPr>
      <w:r>
        <w:rPr>
          <w:sz w:val="20"/>
        </w:rPr>
        <w:t xml:space="preserve">Each of the parties hereby represents and warrants (which representations and warranties will be deemed to be repeated by each party on each date on which a transaction is entered into) that it is entering into this Base Contract and each transaction as principal (and not as agent or in any other capacity, fiduciary or otherwise); it has all regulatory authorizations necessary for it to legally perform its obligations under this Base Contract and each transaction, and if </w:t>
      </w:r>
      <w:r>
        <w:rPr>
          <w:sz w:val="20"/>
          <w:u w:val="single"/>
        </w:rPr>
        <w:t>Section 14</w:t>
      </w:r>
      <w:r>
        <w:rPr>
          <w:sz w:val="20"/>
        </w:rPr>
        <w:t xml:space="preserve"> is included in the Special Provisions of this Base Contract, including, without limitation, the provision of credit support pursuant to </w:t>
      </w:r>
      <w:r>
        <w:rPr>
          <w:sz w:val="20"/>
          <w:u w:val="single"/>
        </w:rPr>
        <w:t>Section 14</w:t>
      </w:r>
      <w:r>
        <w:rPr>
          <w:sz w:val="20"/>
        </w:rPr>
        <w:t xml:space="preserve">; the execution, delivery and performance of this Base Contract and each transaction, and if </w:t>
      </w:r>
      <w:r>
        <w:rPr>
          <w:sz w:val="20"/>
          <w:u w:val="single"/>
        </w:rPr>
        <w:t>Section 14</w:t>
      </w:r>
      <w:r>
        <w:rPr>
          <w:sz w:val="20"/>
        </w:rPr>
        <w:t xml:space="preserve"> is included in the Special Provisions of this Base Contract, including, without limitation, the provision of credit support pursuant to </w:t>
      </w:r>
      <w:r>
        <w:rPr>
          <w:sz w:val="20"/>
          <w:u w:val="single"/>
        </w:rPr>
        <w:t>Section 14</w:t>
      </w:r>
      <w:r>
        <w:rPr>
          <w:sz w:val="20"/>
        </w:rPr>
        <w:t xml:space="preserve">, are within its powers, have been duly authorized by all necessary action, and do not violate any of the terms and conditions in its governing documents, any contracts to which it is a party or any law or regulation applicable to it; this Base Contract and each transaction when entered into in accordance with this Base Contract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or any guarantor, if any, any action, suit or proceeding at law or in equity or before any court, tribunal, governmental body, agency or official or any arbitrator that is likely to affect the legality, validity or enforceability of this Base Contract, any transaction, or if </w:t>
      </w:r>
      <w:r>
        <w:rPr>
          <w:sz w:val="20"/>
          <w:u w:val="single"/>
        </w:rPr>
        <w:t>Section 14</w:t>
      </w:r>
      <w:r>
        <w:rPr>
          <w:sz w:val="20"/>
        </w:rPr>
        <w:t xml:space="preserve"> is included in the Special Provisions of this Base Contract, any guaranty or other credit support arrangement provided pursuant to </w:t>
      </w:r>
      <w:r>
        <w:rPr>
          <w:sz w:val="20"/>
          <w:u w:val="single"/>
        </w:rPr>
        <w:t>Section 14</w:t>
      </w:r>
      <w:r>
        <w:rPr>
          <w:sz w:val="20"/>
        </w:rPr>
        <w:t>, or the ability to perform the obligations thereunder.  In respect of those Transactions in which the Delivery Point is located in Canada e</w:t>
      </w:r>
      <w:r>
        <w:rPr>
          <w:color w:val="000000"/>
          <w:sz w:val="20"/>
        </w:rPr>
        <w:t xml:space="preserve">ach party represents to the other party that </w:t>
      </w:r>
      <w:r>
        <w:rPr>
          <w:sz w:val="20"/>
        </w:rPr>
        <w:t xml:space="preserve">(i) the transaction shall constitute an "OTC Derivative" as defined in the </w:t>
      </w:r>
      <w:r>
        <w:rPr>
          <w:i/>
          <w:sz w:val="20"/>
        </w:rPr>
        <w:t>Securities Act</w:t>
      </w:r>
      <w:r>
        <w:rPr>
          <w:sz w:val="20"/>
        </w:rPr>
        <w:t xml:space="preserve"> (Alberta) and the </w:t>
      </w:r>
      <w:r>
        <w:rPr>
          <w:i/>
          <w:sz w:val="20"/>
        </w:rPr>
        <w:t>Securities Act</w:t>
      </w:r>
      <w:r>
        <w:rPr>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color w:val="000000"/>
          <w:sz w:val="20"/>
        </w:rPr>
      </w:pPr>
      <w:r>
        <w:rPr>
          <w:color w:val="000000"/>
          <w:sz w:val="20"/>
        </w:rPr>
      </w:r>
    </w:p>
    <w:p>
      <w:pPr>
        <w:pStyle w:val="Normal"/>
        <w:jc w:val="both"/>
        <w:rPr>
          <w:b/>
          <w:bCs/>
          <w:i/>
          <w:i/>
          <w:iCs/>
          <w:sz w:val="20"/>
          <w:u w:val="single"/>
        </w:rPr>
      </w:pPr>
      <w:r>
        <w:rPr>
          <w:b/>
          <w:bCs/>
          <w:i/>
          <w:iCs/>
          <w:sz w:val="20"/>
          <w:u w:val="single"/>
        </w:rPr>
        <w:t>[[USER NOTE:  SECTION 14 TO BE ADDED UPON THE DIRECTION OF CREDIT]]</w:t>
      </w:r>
    </w:p>
    <w:p>
      <w:pPr>
        <w:pStyle w:val="Normal"/>
        <w:rPr/>
      </w:pPr>
      <w:r>
        <w:rPr>
          <w:b/>
          <w:bCs/>
          <w:sz w:val="20"/>
        </w:rPr>
        <w:t xml:space="preserve">Section 14.  </w:t>
      </w:r>
      <w:r>
        <w:rPr>
          <w:sz w:val="20"/>
        </w:rPr>
        <w:t>This Base Contract is hereby amended by the addition of the following provisions as Section 14 thereof:</w:t>
      </w:r>
    </w:p>
    <w:p>
      <w:pPr>
        <w:pStyle w:val="Normal"/>
        <w:rPr>
          <w:sz w:val="20"/>
        </w:rPr>
      </w:pPr>
      <w:r>
        <w:rPr>
          <w:sz w:val="20"/>
        </w:rPr>
      </w:r>
    </w:p>
    <w:p>
      <w:pPr>
        <w:pStyle w:val="Normal"/>
        <w:jc w:val="both"/>
        <w:rPr/>
      </w:pPr>
      <w:r>
        <w:rPr>
          <w:sz w:val="20"/>
        </w:rPr>
        <w:t>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 respectively (the "</w:t>
      </w:r>
      <w:r>
        <w:rPr>
          <w:sz w:val="20"/>
          <w:u w:val="single"/>
        </w:rPr>
        <w:t>Rating Level</w:t>
      </w:r>
      <w:r>
        <w:rPr>
          <w:sz w:val="20"/>
        </w:rPr>
        <w:t>"), in each case, as is acceptable to UBS in its commercially reasonable discretion (a "</w:t>
      </w:r>
      <w:r>
        <w:rPr>
          <w:sz w:val="20"/>
          <w:u w:val="single"/>
        </w:rPr>
        <w:t>Letter of Credit</w:t>
      </w:r>
      <w:r>
        <w:rPr>
          <w:sz w:val="20"/>
        </w:rPr>
        <w:t>"), (ii) a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Each Letter of Credit issued pursuant hereto shall be replaced on or before 20 Business Days prior to the expiration thereof.  To secure its obligations under this Base Contract Counterparty hereby grants to UBS a first-priority, present and continuing security interest in, lien on, right of setoff against, and assignment of, all currency or other collateral delivered pursuant to the terms of this Base Contract or any transaction and any and all proceeds resulting therefrom or the liquidation thereof, whether now or hereafter held by, on behalf of, or for the benefit of, UBS (the "</w:t>
      </w:r>
      <w:r>
        <w:rPr>
          <w:sz w:val="20"/>
          <w:u w:val="single"/>
        </w:rPr>
        <w:t>Lien</w:t>
      </w:r>
      <w:r>
        <w:rPr>
          <w:sz w:val="20"/>
        </w:rPr>
        <w:t xml:space="preserve">"), and Counterparty agrees to take such action as UBS reasonably requires in order to perfect a first-priority Lien favor of UBS.  Upon an Event of Default wherein UBS is the non-defaulting party, UBS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the benefit of UBS; and (iv) liquidate all collateral and security secured by the Lien then held by of for the benefit of UBS free from any claim or right of any nature whatsoever of Counterparty, including any equity or right of purchase or redemption by Counterparty.  </w:t>
      </w:r>
    </w:p>
    <w:p>
      <w:pPr>
        <w:pStyle w:val="Normal"/>
        <w:rPr>
          <w:sz w:val="20"/>
        </w:rPr>
      </w:pPr>
      <w:r>
        <w:rPr>
          <w:sz w:val="20"/>
        </w:rPr>
      </w:r>
    </w:p>
    <w:sectPr>
      <w:footerReference w:type="default" r:id="rId7"/>
      <w:footerReference w:type="first" r:id="rId8"/>
      <w:type w:val="nextPage"/>
      <w:pgSz w:w="12240" w:h="15840"/>
      <w:pgMar w:left="720" w:right="720" w:gutter="0" w:header="0" w:top="720"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p>
    <w:pPr>
      <w:pStyle w:val="Footer"/>
      <w:jc w:val="end"/>
      <w:rPr/>
    </w:pPr>
    <w:r>
      <w:rPr>
        <w:rStyle w:val="PageNumber"/>
        <w:sz w:val="18"/>
      </w:rPr>
      <w:t>GISB Gas Base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2002-02-03T18:50:00Z</dcterms:created>
  <dc:creator>Susan L. Wadle</dc:creator>
  <dc:description/>
  <dc:language>en-CA</dc:language>
  <cp:lastModifiedBy>mcook</cp:lastModifiedBy>
  <cp:lastPrinted>2002-02-04T15:25:00Z</cp:lastPrinted>
  <dcterms:modified xsi:type="dcterms:W3CDTF">2002-02-04T18:56:00Z</dcterms:modified>
  <cp:revision>30</cp:revision>
  <dc:subject/>
  <dc:title>BASE CONTRACT FOR SHORT-TERM</dc:title>
</cp:coreProperties>
</file>