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vanish/>
        </w:rPr>
      </w:pPr>
      <w:r>
        <w:rPr>
          <w:vanish/>
        </w:rPr>
      </w:r>
    </w:p>
    <w:p>
      <w:pPr>
        <w:sectPr>
          <w:footerReference w:type="default" r:id="rId2"/>
          <w:type w:val="nextPage"/>
          <w:pgSz w:w="12240" w:h="15840"/>
          <w:pgMar w:left="720" w:right="720" w:gutter="0" w:header="0" w:top="547" w:footer="432" w:bottom="48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20"/>
          <w:tab w:val="center" w:pos="4680" w:leader="none"/>
          <w:tab w:val="center" w:pos="5112" w:leader="none"/>
          <w:tab w:val="center" w:pos="5400" w:leader="none"/>
          <w:tab w:val="left" w:pos="9360" w:leader="none"/>
          <w:tab w:val="right" w:pos="10800" w:leader="none"/>
        </w:tabs>
        <w:jc w:val="center"/>
        <w:rPr/>
      </w:pPr>
      <w:r>
        <w:rPr/>
        <w:t>EXHIBIT A</w:t>
      </w:r>
    </w:p>
    <w:p>
      <w:pPr>
        <w:pStyle w:val="Normal"/>
        <w:widowControl w:val="false"/>
        <w:tabs>
          <w:tab w:val="clear" w:pos="720"/>
          <w:tab w:val="center" w:pos="4680" w:leader="none"/>
          <w:tab w:val="center" w:pos="5112" w:leader="none"/>
          <w:tab w:val="center" w:pos="5400" w:leader="none"/>
          <w:tab w:val="left" w:pos="9360" w:leader="none"/>
          <w:tab w:val="right" w:pos="10800" w:leader="none"/>
        </w:tabs>
        <w:jc w:val="center"/>
        <w:rPr/>
      </w:pPr>
      <w:r>
        <w:rPr/>
        <w:t>TRANSACTION CONFIRMATION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360" w:leader="none"/>
          <w:tab w:val="right" w:pos="10800" w:leader="none"/>
        </w:tabs>
        <w:spacing w:before="0" w:after="120"/>
        <w:jc w:val="center"/>
        <w:rPr/>
      </w:pPr>
      <w:r>
        <w:rPr/>
        <w:t>FOR IMMEDIATE DELIVERY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margin">
                  <wp:posOffset>3829685</wp:posOffset>
                </wp:positionH>
                <wp:positionV relativeFrom="paragraph">
                  <wp:posOffset>278130</wp:posOffset>
                </wp:positionV>
                <wp:extent cx="2840990" cy="8382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838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3.7pt;height:66pt;mso-wrap-distance-left:9.05pt;mso-wrap-distance-right:9.05pt;mso-wrap-distance-top:0pt;mso-wrap-distance-bottom:0pt;margin-top:21.9pt;mso-position-vertical-relative:text;margin-left:301.55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53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02"/>
        <w:gridCol w:w="1728"/>
        <w:gridCol w:w="4500"/>
      </w:tblGrid>
      <w:tr>
        <w:trPr/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napToGrid w:val="false"/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pacing w:before="0" w:after="120"/>
              <w:jc w:val="center"/>
              <w:rPr/>
            </w:pPr>
            <w:r>
              <w:rPr/>
              <w:t>Date: ____________________________, 20__ Transaction Confirmation #: _______________</w:t>
            </w:r>
          </w:p>
        </w:tc>
      </w:tr>
    </w:tbl>
    <w:p>
      <w:pPr>
        <w:sectPr>
          <w:type w:val="continuous"/>
          <w:pgSz w:w="12240" w:h="15840"/>
          <w:pgMar w:left="720" w:right="720" w:gutter="0" w:header="0" w:top="547" w:footer="432" w:bottom="488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20"/>
          <w:tab w:val="left" w:pos="0" w:leader="none"/>
          <w:tab w:val="center" w:pos="4680" w:leader="none"/>
          <w:tab w:val="right" w:pos="9360" w:leader="none"/>
          <w:tab w:val="left" w:pos="10080" w:leader="none"/>
          <w:tab w:val="left" w:pos="10800" w:leader="none"/>
        </w:tabs>
        <w:spacing w:before="0" w:after="60"/>
        <w:rPr/>
      </w:pPr>
      <w:r>
        <w:rPr/>
      </w:r>
    </w:p>
    <w:tbl>
      <w:tblPr>
        <w:tblW w:w="10566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202"/>
        <w:gridCol w:w="5364"/>
      </w:tblGrid>
      <w:tr>
        <w:trPr/>
        <w:tc>
          <w:tcPr>
            <w:tcW w:w="10566" w:type="dxa"/>
            <w:gridSpan w:val="2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  <w:tab w:val="left" w:pos="10800" w:leader="none"/>
              </w:tabs>
              <w:spacing w:before="0" w:after="58"/>
              <w:rPr/>
            </w:pPr>
            <w:r>
              <w:rPr/>
              <w:t>This Transaction Confirmation is subject to the Base Contract between Seller and Buyer dated  ______________________.  The terms of this Transaction Confirmation are binding unless disputed in writing within 2 Business Days of receipt unless otherwise specified in the Base Contract.</w:t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>
                <w:b/>
              </w:rPr>
            </w:pPr>
            <w:r>
              <w:rPr>
                <w:b/>
              </w:rPr>
              <w:t>SELLER: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Attn: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 xml:space="preserve">Phone: _________________________________________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Fax: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Base Contract No. 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Transporter: 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Transporter Contract Number:________________________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>
                <w:b/>
              </w:rPr>
            </w:pPr>
            <w:r>
              <w:rPr>
                <w:b/>
              </w:rPr>
              <w:t>BUYER: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Attn: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ind w:end="186"/>
              <w:rPr/>
            </w:pPr>
            <w:r>
              <w:rPr/>
              <w:t xml:space="preserve">Phone: _________________________________________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Fax: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Base Contract No. 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Transporter: 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 Contract Number:________________________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/>
              <w:t>Contract Price:  $</w:t>
            </w:r>
            <w:r>
              <w:rPr>
                <w:u w:val="single"/>
              </w:rPr>
              <w:t>            </w:t>
            </w:r>
            <w:r>
              <w:rPr/>
              <w:t>/MMBtu or ______________________________________________________________________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/>
              <w:t xml:space="preserve">Delivery Period:  Begin: </w:t>
            </w:r>
            <w:r>
              <w:rPr>
                <w:u w:val="single"/>
              </w:rPr>
              <w:t>                       </w:t>
            </w:r>
            <w:r>
              <w:rPr/>
              <w:t>, 20_</w:t>
            </w:r>
            <w:r>
              <w:rPr>
                <w:u w:val="single"/>
              </w:rPr>
              <w:t>  </w:t>
            </w:r>
            <w:r>
              <w:rPr/>
              <w:t xml:space="preserve">                                End: </w:t>
            </w:r>
            <w:r>
              <w:rPr>
                <w:u w:val="single"/>
              </w:rPr>
              <w:t>                   </w:t>
            </w:r>
            <w:r>
              <w:rPr/>
              <w:t>, 20_</w:t>
            </w:r>
            <w:r>
              <w:rPr>
                <w:u w:val="single"/>
              </w:rPr>
              <w:t>  </w:t>
            </w:r>
            <w:r>
              <w:rPr/>
              <w:t xml:space="preserve"> 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left" w:pos="720" w:leader="none"/>
              </w:tabs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Performance Obligation and Contract Quantity:</w:t>
            </w:r>
            <w:r>
              <w:rPr/>
              <w:t xml:space="preserve">  (Select One)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Firm (Fixed Quantity):</w:t>
            </w:r>
            <w:r>
              <w:rPr/>
              <w:tab/>
            </w:r>
            <w:r>
              <w:rPr>
                <w:b/>
              </w:rPr>
              <w:t>Firm (Variable Quantity):</w:t>
            </w:r>
            <w:r>
              <w:rPr/>
              <w:tab/>
            </w:r>
            <w:r>
              <w:rPr>
                <w:b/>
              </w:rPr>
              <w:t>Interruptible: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u w:val="single"/>
              </w:rPr>
              <w:t>             </w:t>
            </w:r>
            <w:r>
              <w:rPr/>
              <w:t xml:space="preserve"> </w:t>
            </w:r>
            <w:r>
              <w:rPr/>
              <w:t>MMBtus/day</w:t>
              <w:tab/>
            </w:r>
            <w:r>
              <w:rPr>
                <w:u w:val="single"/>
              </w:rPr>
              <w:t>             </w:t>
            </w:r>
            <w:r>
              <w:rPr/>
              <w:t xml:space="preserve"> MMBtus/day Minimum</w:t>
              <w:tab/>
              <w:t xml:space="preserve">Up to </w:t>
            </w:r>
            <w:r>
              <w:rPr>
                <w:u w:val="single"/>
              </w:rPr>
              <w:t>            </w:t>
            </w:r>
            <w:r>
              <w:rPr/>
              <w:t xml:space="preserve"> MMBtus/day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/>
              <w:t xml:space="preserve">    </w:t>
            </w:r>
            <w:r>
              <w:rPr>
                <w:rFonts w:cs="Wingdings" w:ascii="Wingdings" w:hAnsi="Wingdings"/>
              </w:rPr>
              <w:sym w:font="Wingdings" w:char="f06f"/>
            </w:r>
            <w:r>
              <w:rPr/>
              <w:t xml:space="preserve"> </w:t>
            </w:r>
            <w:r>
              <w:rPr/>
              <w:t>EFP</w:t>
              <w:tab/>
            </w:r>
            <w:r>
              <w:rPr>
                <w:u w:val="single"/>
              </w:rPr>
              <w:t>             </w:t>
            </w:r>
            <w:r>
              <w:rPr/>
              <w:t xml:space="preserve"> MMBtus/day Maximum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ind w:firstLine="4050" w:end="0"/>
              <w:rPr/>
            </w:pPr>
            <w:r>
              <w:rPr/>
              <w:t>subject to Section 4.2. at election of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ind w:firstLine="4050" w:end="0"/>
              <w:rPr/>
            </w:pPr>
            <w:r>
              <w:rPr>
                <w:rFonts w:cs="Wingdings" w:ascii="Wingdings" w:hAnsi="Wingdings"/>
              </w:rPr>
              <w:sym w:font="Wingdings" w:char="f06f"/>
            </w:r>
            <w:r>
              <w:rPr/>
              <w:t xml:space="preserve">  </w:t>
            </w:r>
            <w:r>
              <w:rPr/>
              <w:t xml:space="preserve">Buyer or </w:t>
            </w:r>
            <w:r>
              <w:rPr>
                <w:rFonts w:cs="Wingdings" w:ascii="Wingdings" w:hAnsi="Wingdings"/>
              </w:rPr>
              <w:sym w:font="Wingdings" w:char="f06f"/>
            </w:r>
            <w:r>
              <w:rPr/>
              <w:t xml:space="preserve"> Seller 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Delivery Point(s):</w:t>
            </w:r>
            <w:r>
              <w:rPr/>
              <w:t xml:space="preserve"> 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/>
              <w:t>(If a pooling point is used, list a specific geographic and pipeline location):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>
                <w:b/>
              </w:rPr>
            </w:pPr>
            <w:r>
              <w:rPr>
                <w:b/>
              </w:rPr>
              <w:t>Special Conditions: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Seller: 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By: ____________________________________________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Title: 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Date: __________________________________________</w:t>
              <w:tab/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Buyer:  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By: 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Title: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spacing w:before="0" w:after="58"/>
              <w:rPr/>
            </w:pPr>
            <w:r>
              <w:rPr/>
              <w:t>Date: __________________________________________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rPr>
          <w:sz w:val="16"/>
        </w:rPr>
      </w:pPr>
      <w:r>
        <w:rPr>
          <w:sz w:val="16"/>
        </w:rPr>
      </w:r>
    </w:p>
    <w:sectPr>
      <w:type w:val="continuous"/>
      <w:pgSz w:w="12240" w:h="15840"/>
      <w:pgMar w:left="720" w:right="720" w:gutter="0" w:header="0" w:top="547" w:footer="432" w:bottom="48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240"/>
      <w:rPr>
        <w:rFonts w:ascii="CG Times;Times New Roman" w:hAnsi="CG Times;Times New Roman" w:cs="CG Times;Times New Roman"/>
        <w:sz w:val="16"/>
      </w:rPr>
    </w:pPr>
    <w:r>
      <w:rPr>
        <w:rFonts w:cs="CG Times;Times New Roman" w:ascii="CG Times;Times New Roman" w:hAnsi="CG Times;Times New Roman"/>
        <w:sz w:val="16"/>
      </w:rPr>
    </w:r>
  </w:p>
  <w:p>
    <w:pPr>
      <w:pStyle w:val="Normal"/>
      <w:widowControl w:val="false"/>
      <w:spacing w:lineRule="exact" w:line="19"/>
      <w:ind w:start="720" w:end="720"/>
      <w:jc w:val="both"/>
      <w:rPr>
        <w:rFonts w:ascii="CG Times;Times New Roman" w:hAnsi="CG Times;Times New Roman" w:cs="CG Times;Times New Roman"/>
        <w:sz w:val="16"/>
        <w:lang w:val="en-CA" w:eastAsia="en-CA"/>
      </w:rPr>
    </w:pPr>
    <w:r>
      <w:rPr>
        <w:rFonts w:cs="CG Times;Times New Roman" w:ascii="CG Times;Times New Roman" w:hAnsi="CG Times;Times New Roman"/>
        <w:sz w:val="16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5943600" cy="12065"/>
              <wp:effectExtent l="0" t="635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72pt;margin-top:0pt;width:467.95pt;height:0.9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widowControl w:val="false"/>
      <w:ind w:start="720" w:end="720"/>
      <w:jc w:val="both"/>
      <w:rPr>
        <w:sz w:val="16"/>
      </w:rPr>
    </w:pPr>
    <w:r>
      <w:rPr>
        <w:sz w:val="16"/>
      </w:rPr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>
        <w:rFonts w:ascii="CG Times;Times New Roman" w:hAnsi="CG Times;Times New Roman" w:cs="CG Times;Times New Roman"/>
        <w:sz w:val="18"/>
      </w:rPr>
    </w:pPr>
    <w:r>
      <w:rPr>
        <w:sz w:val="18"/>
      </w:rPr>
      <w:t>Copyright © 1996 Gas Industry Standards Board, Inc.</w:t>
    </w:r>
    <w:r>
      <w:rPr>
        <w:rFonts w:cs="CG Times;Times New Roman" w:ascii="CG Times;Times New Roman" w:hAnsi="CG Times;Times New Roman"/>
        <w:sz w:val="18"/>
      </w:rPr>
      <w:tab/>
      <w:tab/>
    </w:r>
    <w:r>
      <w:rPr>
        <w:sz w:val="18"/>
      </w:rPr>
      <w:t>GISB Standard 6.3.1</w:t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/>
    </w:pPr>
    <w:r>
      <w:rPr>
        <w:rFonts w:cs="CG Times;Times New Roman" w:ascii="CG Times;Times New Roman" w:hAnsi="CG Times;Times New Roman"/>
        <w:sz w:val="18"/>
      </w:rPr>
      <w:t>All rights reserved.</w:t>
    </w:r>
    <w:r>
      <w:rPr>
        <w:rFonts w:cs="CG Times;Times New Roman" w:ascii="CG Times;Times New Roman" w:hAnsi="CG Times;Times New Roman"/>
      </w:rPr>
      <w:tab/>
      <w:tab/>
    </w:r>
    <w:r>
      <w:rPr>
        <w:sz w:val="18"/>
      </w:rPr>
      <w:t>May 13, 1996</w:t>
    </w:r>
  </w:p>
</w:ftr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2001-11-13T15:03:00Z</dcterms:created>
  <dc:creator>Authorised User</dc:creator>
  <dc:description/>
  <dc:language>en-CA</dc:language>
  <cp:lastModifiedBy>kward</cp:lastModifiedBy>
  <cp:lastPrinted>2001-11-13T11:33:00Z</cp:lastPrinted>
  <dcterms:modified xsi:type="dcterms:W3CDTF">2001-11-13T15:03:00Z</dcterms:modified>
  <cp:revision>2</cp:revision>
  <dc:subject>FRITO LAY RFP</dc:subject>
  <dc:title>GISB EXHIBIT A</dc:title>
</cp:coreProperties>
</file>