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sz w:val="28"/>
        </w:rPr>
      </w:pPr>
      <w:r>
        <w:rPr>
          <w:b/>
          <w:sz w:val="28"/>
        </w:rPr>
      </w:r>
    </w:p>
    <w:p>
      <w:pPr>
        <w:pStyle w:val="Normal"/>
        <w:widowControl w:val="false"/>
        <w:tabs>
          <w:tab w:val="clear" w:pos="720"/>
          <w:tab w:val="right" w:pos="10800" w:leader="none"/>
        </w:tabs>
        <w:rPr/>
      </w:pPr>
      <w:r>
        <w:rPr/>
        <w:t xml:space="preserve">This Base Contract is entered into as of the following date: </w:t>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b/>
          <w:u w:val="single"/>
        </w:rPr>
        <w:t>CALIFORNIA DEPARTMENT OF WATER RESOURCES</w:t>
      </w:r>
      <w:r>
        <w:rPr/>
        <w:t xml:space="preserve"> and</w:t>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 xml:space="preserve">3310 El Camino Avenue Suite 120, Sacramento, CA 95821 </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ab/>
        <w:t>02-480-6957</w:t>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ab/>
        <w:t>Garney L. Hargan</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Phone: 916-574-0290</w:t>
        <w:tab/>
        <w:t xml:space="preserve"> Fax: 916-574-0301</w:t>
        <w:tab/>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ab/>
        <w:t>52-1692634</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(see Attachment for Payments):</w:t>
        <w:tab/>
        <w:tab/>
        <w:tab/>
        <w:tab/>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DWR c/o Interstate Gas Services, Inc.</w:t>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2600 Kitty Hawk Road Suite 101, Livermore, California 94550</w:t>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Att: Ms. Suzanne McFadden,</w:t>
        <w:tab/>
        <w:tab/>
        <w:tab/>
        <w:t>Att: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Phone: 925-243-0350</w:t>
      </w:r>
      <w:r>
        <w:rPr>
          <w:u w:val="single"/>
        </w:rPr>
        <w:tab/>
        <w:t xml:space="preserve">   </w:t>
      </w:r>
      <w:r>
        <w:rPr/>
        <w:t>Fax: 925-243-0349</w:t>
        <w:tab/>
        <w:tab/>
        <w:t xml:space="preserve">Phone: </w:t>
        <w:tab/>
        <w:t xml:space="preserve">Fax: </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Wire Transfer or ACH Nos. (if applicable)</w:t>
        <w:tab/>
        <w:tab/>
        <w:t>Wire Transfer or ACH Nos. (if applicable)</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b/>
                <w:sz w:val="18"/>
              </w:rPr>
              <w:sym w:font="Wingdings" w:char="f078"/>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b/>
                <w:sz w:val="18"/>
              </w:rPr>
              <w:sym w:font="Wingdings" w:char="f07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b/>
                <w:sz w:val="18"/>
              </w:rPr>
              <w:sym w:font="Wingdings" w:char="f078"/>
            </w:r>
            <w:r>
              <w:rPr>
                <w:sz w:val="18"/>
              </w:rPr>
              <w:t xml:space="preserve"> </w:t>
            </w:r>
            <w:r>
              <w:rPr>
                <w:sz w:val="18"/>
              </w:rPr>
              <w:t>Same Day</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w:t>
            </w:r>
            <w:r>
              <w:rPr>
                <w:b/>
                <w:sz w:val="18"/>
              </w:rPr>
              <w:t>25th</w:t>
            </w:r>
            <w:r>
              <w:rPr>
                <w:sz w:val="18"/>
              </w:rPr>
              <w:t>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b/>
                <w:sz w:val="18"/>
              </w:rPr>
              <w:sym w:font="Wingdings" w:char="f078"/>
            </w:r>
            <w:r>
              <w:rPr>
                <w:b/>
                <w:sz w:val="18"/>
              </w:rPr>
              <w:t xml:space="preserve"> </w:t>
            </w:r>
            <w:r>
              <w:rPr>
                <w:b/>
                <w:sz w:val="18"/>
              </w:rPr>
              <w:t>_BOTH____________________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cs="Wingdings" w:ascii="Wingdings" w:hAnsi="Wingdings"/>
                <w:b/>
                <w:sz w:val="18"/>
              </w:rPr>
              <w:sym w:font="Wingdings" w:char="f078"/>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b/>
                <w:sz w:val="18"/>
              </w:rPr>
              <w:sym w:font="Wingdings" w:char="f07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cs="Wingdings" w:ascii="Wingdings" w:hAnsi="Wingdings"/>
                <w:sz w:val="18"/>
              </w:rPr>
              <w:sym w:font="Wingdings" w:char="f0a8"/>
            </w:r>
            <w:r>
              <w:rPr>
                <w:sz w:val="18"/>
              </w:rPr>
              <w:t xml:space="preserve"> </w:t>
            </w:r>
            <w:r>
              <w:rPr>
                <w:sz w:val="18"/>
              </w:rPr>
              <w:t>Spot Price Standard</w:t>
            </w:r>
          </w:p>
        </w:tc>
        <w:tc>
          <w:tcPr>
            <w:tcW w:w="5039" w:type="dxa"/>
            <w:gridSpan w:val="2"/>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5400"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0" w:type="dxa"/>
            <w:vMerge w:val="continue"/>
            <w:tcBorders>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ind w:hanging="345" w:start="345" w:end="0"/>
              <w:rPr>
                <w:b/>
                <w:sz w:val="18"/>
              </w:rPr>
            </w:pPr>
            <w:r>
              <w:rPr>
                <w:b/>
                <w:sz w:val="18"/>
              </w:rPr>
            </w:r>
          </w:p>
        </w:tc>
        <w:tc>
          <w:tcPr>
            <w:tcW w:w="5039"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CHOICE OF LAW:  __California______________________</w:t>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5400"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b/>
                <w:sz w:val="18"/>
              </w:rPr>
              <w:t>Gas Daily</w:t>
            </w:r>
            <w:r>
              <w:rPr>
                <w:sz w:val="18"/>
              </w:rPr>
              <w:t>____________________________</w:t>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c>
          <w:tcPr>
            <w:tcW w:w="5039"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pPr>
            <w:r>
              <w:rPr>
                <w:rFonts w:cs="Wingdings" w:ascii="Wingdings" w:hAnsi="Wingdings"/>
                <w:b/>
                <w:sz w:val="18"/>
              </w:rPr>
              <w:sym w:font="Wingdings" w:char="f078"/>
            </w:r>
            <w:r>
              <w:rPr>
                <w:b/>
                <w:sz w:val="18"/>
              </w:rPr>
              <w:t xml:space="preserve">  </w:t>
            </w:r>
            <w:r>
              <w:rPr>
                <w:b/>
                <w:sz w:val="18"/>
              </w:rPr>
              <w:t xml:space="preserve">Special Provisions:  </w:t>
            </w:r>
            <w:r>
              <w:rPr>
                <w:sz w:val="18"/>
              </w:rPr>
              <w:t xml:space="preserve">Number of sheets attached:  </w:t>
            </w:r>
            <w:r>
              <w:rPr>
                <w:b/>
              </w:rPr>
              <w:t xml:space="preserve">4 (Four)            </w:t>
            </w:r>
            <w:r>
              <w:rPr>
                <w:rFonts w:cs="Wingdings" w:ascii="Wingdings" w:hAnsi="Wingdings"/>
                <w:b/>
                <w:sz w:val="18"/>
              </w:rPr>
              <w:sym w:font="Wingdings" w:char="f078"/>
            </w:r>
            <w:r>
              <w:rPr>
                <w:b/>
                <w:sz w:val="18"/>
              </w:rPr>
              <w:t xml:space="preserve">  Attachments:  </w:t>
            </w:r>
            <w:r>
              <w:rPr>
                <w:sz w:val="18"/>
              </w:rPr>
              <w:t xml:space="preserve">Number of sheets attached:  </w:t>
            </w:r>
            <w:r>
              <w:rPr>
                <w:b/>
                <w:sz w:val="18"/>
              </w:rPr>
              <w:t>2</w:t>
            </w:r>
            <w:r>
              <w:rPr>
                <w:b/>
              </w:rPr>
              <w:t xml:space="preserve"> (Two)</w:t>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u w:val="single"/>
        </w:rPr>
        <w:tab/>
        <w:tab/>
      </w:r>
      <w:r>
        <w:rPr/>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rPr>
        <w:t>i</w:t>
      </w:r>
      <w:r>
        <w:rPr>
          <w:spacing w:val="-4"/>
        </w:rPr>
        <w:t>) a Transaction Confirmation, (</w:t>
      </w:r>
      <w:r>
        <w:rPr>
          <w:spacing w:val="-4"/>
          <w:lang w:val="en-CA"/>
        </w:rPr>
        <w:t>ii</w:t>
      </w:r>
      <w:r>
        <w:rPr>
          <w:spacing w:val="-4"/>
        </w:rPr>
        <w:t>) the Base Contract, and (</w:t>
      </w:r>
      <w:r>
        <w:rPr>
          <w:spacing w:val="-4"/>
          <w:lang w:val="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rPr>
        <w:t>i</w:t>
      </w:r>
      <w:r>
        <w:rPr>
          <w:spacing w:val="-6"/>
        </w:rPr>
        <w:t>) the Base Contract and (</w:t>
      </w:r>
      <w:r>
        <w:rPr>
          <w:spacing w:val="-6"/>
          <w:lang w:val="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rPr>
        <w:t>i</w:t>
      </w:r>
      <w:r>
        <w:rPr>
          <w:spacing w:val="-6"/>
        </w:rPr>
        <w:t>) the price (determined as stated above) for the first Day for which a price or range of prices is published that next precedes the relevant Day; and (</w:t>
      </w:r>
      <w:r>
        <w:rPr>
          <w:spacing w:val="-6"/>
          <w:lang w:val="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rPr>
        <w:t>i</w:t>
      </w:r>
      <w:r>
        <w:rPr>
          <w:spacing w:val="-6"/>
        </w:rPr>
        <w:t>) the then-effective prime rate of interest published under "Money Rates" by The Wall Street Journal, plus two percent per annum from the date due until the date of payment; or (</w:t>
      </w:r>
      <w:r>
        <w:rPr>
          <w:spacing w:val="-6"/>
          <w:lang w:val="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rPr>
        <w:t>i</w:t>
      </w:r>
      <w:r>
        <w:rPr>
          <w:spacing w:val="-3"/>
        </w:rPr>
        <w:t>) make an assignment or any general arrangement for the benefit of creditors; (</w:t>
      </w:r>
      <w:r>
        <w:rPr>
          <w:spacing w:val="-3"/>
          <w:lang w:val="en-CA"/>
        </w:rPr>
        <w:t>ii</w:t>
      </w:r>
      <w:r>
        <w:rPr>
          <w:spacing w:val="-3"/>
        </w:rPr>
        <w:t>) default in the payment obligation to the other party; (</w:t>
      </w:r>
      <w:r>
        <w:rPr>
          <w:spacing w:val="-3"/>
          <w:lang w:val="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rPr>
        <w:t>iv</w:t>
      </w:r>
      <w:r>
        <w:rPr>
          <w:spacing w:val="-3"/>
        </w:rPr>
        <w:t>) otherwise become bankrupt or insolvent (however evidenced); or (</w:t>
      </w:r>
      <w:r>
        <w:rPr>
          <w:spacing w:val="-3"/>
          <w:lang w:val="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rPr>
        <w:t>ii</w:t>
      </w:r>
      <w:r>
        <w:rPr>
          <w:spacing w:val="-3"/>
        </w:rPr>
        <w:t>) weather related events affecting an entire geographic region, such as low temperatures which cause freezing or failure of wells or lines of pipe; (</w:t>
      </w:r>
      <w:r>
        <w:rPr>
          <w:spacing w:val="-3"/>
          <w:lang w:val="en-CA"/>
        </w:rPr>
        <w:t>iii</w:t>
      </w:r>
      <w:r>
        <w:rPr>
          <w:spacing w:val="-3"/>
        </w:rPr>
        <w:t>) interruption of firm transportation and/or storage by Transporters; (</w:t>
      </w:r>
      <w:r>
        <w:rPr>
          <w:spacing w:val="-3"/>
          <w:lang w:val="en-CA"/>
        </w:rPr>
        <w:t>iv</w:t>
      </w:r>
      <w:r>
        <w:rPr>
          <w:spacing w:val="-3"/>
        </w:rPr>
        <w:t>) acts of others such as strikes, lockouts or other industrial disturbances, riots, sabotage, insurrections or wars; and (</w:t>
      </w:r>
      <w:r>
        <w:rPr>
          <w:spacing w:val="-3"/>
          <w:lang w:val="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rPr>
        <w:t>i</w:t>
      </w:r>
      <w:r>
        <w:rPr>
          <w:spacing w:val="-3"/>
        </w:rPr>
        <w:t>) the curtailment of interruptible or secondary firm transportation unless primary, in-path, firm transportation is also curtailed; (</w:t>
      </w:r>
      <w:r>
        <w:rPr>
          <w:spacing w:val="-3"/>
          <w:lang w:val="en-CA"/>
        </w:rPr>
        <w:t>ii</w:t>
      </w:r>
      <w:r>
        <w:rPr>
          <w:spacing w:val="-3"/>
        </w:rPr>
        <w:t>) the party claiming excuse failed to remedy the condition and to resume the performance of such covenants or obligations with reasonable dispatch; or (</w:t>
      </w:r>
      <w:r>
        <w:rPr>
          <w:spacing w:val="-3"/>
          <w:lang w:val="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27">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rHeight w:val="973" w:hRule="atLeast"/>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b/>
                <w:sz w:val="24"/>
              </w:rPr>
            </w:pPr>
            <w:r>
              <w:rPr>
                <w:b/>
                <w:sz w:val="24"/>
              </w:rPr>
              <w:t>DWR(CERS)</w:t>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c>
          <w:tcPr>
            <w:tcW w:w="0" w:type="dxa"/>
            <w:vMerge w:val="continue"/>
            <w:tcBorders>
              <w:top w:val="doub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 w:val="left" w:pos="10800" w:leader="none"/>
              </w:tabs>
              <w:snapToGrid w:val="false"/>
              <w:spacing w:before="0" w:after="58"/>
              <w:rPr/>
            </w:pPr>
            <w:r>
              <w:rPr/>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b/>
                <w:u w:val="single"/>
              </w:rPr>
              <w:t xml:space="preserve">CALIFORNIA DEPARTMENT OF WATER RESOURCES, </w:t>
            </w:r>
            <w:r>
              <w:rPr>
                <w:u w:val="single"/>
              </w:rPr>
              <w:t>P. O. Box 219001</w:t>
            </w:r>
          </w:p>
          <w:p>
            <w:pPr>
              <w:pStyle w:val="Heading1"/>
              <w:ind w:hanging="0" w:start="0"/>
              <w:rPr/>
            </w:pPr>
            <w:r>
              <w:rPr/>
              <w:t>3310 El Camino Avenue Suite 120, Sacramento, CA 95821</w:t>
            </w:r>
          </w:p>
          <w:p>
            <w:pPr>
              <w:pStyle w:val="Normal"/>
              <w:widowControl w:val="false"/>
              <w:tabs>
                <w:tab w:val="clear" w:pos="720"/>
                <w:tab w:val="left" w:pos="0" w:leader="none"/>
                <w:tab w:val="right" w:pos="5292" w:leader="none"/>
              </w:tabs>
              <w:rPr/>
            </w:pPr>
            <w:r>
              <w:rPr/>
              <w:t>Attn: Garney L. Hargan</w:t>
            </w:r>
          </w:p>
          <w:p>
            <w:pPr>
              <w:pStyle w:val="Normal"/>
              <w:widowControl w:val="false"/>
              <w:tabs>
                <w:tab w:val="clear" w:pos="720"/>
                <w:tab w:val="left" w:pos="0" w:leader="none"/>
                <w:tab w:val="right" w:pos="5292" w:leader="none"/>
              </w:tabs>
              <w:rPr/>
            </w:pPr>
            <w:r>
              <w:rPr/>
              <w:t>Phone: 916-574-0290</w:t>
            </w:r>
          </w:p>
          <w:p>
            <w:pPr>
              <w:pStyle w:val="Normal"/>
              <w:widowControl w:val="false"/>
              <w:tabs>
                <w:tab w:val="clear" w:pos="720"/>
                <w:tab w:val="left" w:pos="0" w:leader="none"/>
                <w:tab w:val="right" w:pos="5292" w:leader="none"/>
              </w:tabs>
              <w:rPr/>
            </w:pPr>
            <w:r>
              <w:rPr/>
              <w:t>Fax: 916-574-0301</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right" w:pos="1071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ind w:firstLine="4050" w:end="0"/>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rPr>
    </w:pPr>
    <w:r>
      <w:rPr>
        <w:rFonts w:cs="CG Times" w:ascii="CG Times" w:hAnsi="CG Times"/>
        <w:sz w:val="24"/>
        <w:lang w:val="en-CA"/>
      </w:rPr>
      <mc:AlternateContent>
        <mc:Choice Requires="wps">
          <w:drawing>
            <wp:anchor behindDoc="1" distT="0" distB="0" distL="114935" distR="114935" simplePos="0" locked="0" layoutInCell="0" allowOverlap="1" relativeHeight="17">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p>
    <w:pPr>
      <w:pStyle w:val="Normal"/>
      <w:widowControl w:val="false"/>
      <w:tabs>
        <w:tab w:val="clear" w:pos="720"/>
        <w:tab w:val="center" w:pos="5400" w:leader="none"/>
        <w:tab w:val="right" w:pos="10800" w:leader="none"/>
      </w:tabs>
      <w:rPr/>
    </w:pPr>
    <w:r>
      <w:rPr>
        <w:rFonts w:cs="CG Times" w:ascii="CG Times" w:hAnsi="CG Times"/>
      </w:rPr>
      <w:softHyphen/>
    </w:r>
    <w:r>
      <w:rPr>
        <w:rFonts w:cs="CG Times" w:ascii="CG Times" w:hAnsi="CG Times"/>
        <w:sz w:val="18"/>
      </w:rPr>
      <w:t xml:space="preserve">371333v1 023448/005187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9">
              <wp:simplePos x="0" y="0"/>
              <wp:positionH relativeFrom="column">
                <wp:align>left</wp:align>
              </wp:positionH>
              <wp:positionV relativeFrom="line">
                <wp:posOffset>635</wp:posOffset>
              </wp:positionV>
              <wp:extent cx="6858000" cy="146685"/>
              <wp:effectExtent l="0" t="0" r="0" b="0"/>
              <wp:wrapNone/>
              <wp:docPr id="1" name="Frame3"/>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rPr>
                          </w:pPr>
                          <w:r>
                            <w:rPr>
                              <w:lang w:val="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642194795"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rPr>
                    </w:pPr>
                    <w:r>
                      <w:rPr>
                        <w:lang w:val="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985067900"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tabs>
        <w:tab w:val="clear" w:pos="720"/>
        <w:tab w:val="left" w:pos="0" w:leader="none"/>
        <w:tab w:val="right" w:pos="5292" w:leader="none"/>
      </w:tabs>
      <w:outlineLvl w:val="0"/>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2001-06-18T15:37:00Z</dcterms:created>
  <dc:creator>EPNG</dc:creator>
  <dc:description/>
  <dc:language>en-CA</dc:language>
  <cp:lastModifiedBy>Valued Gateway 2000 Customer</cp:lastModifiedBy>
  <cp:lastPrinted>2001-06-17T16:36:00Z</cp:lastPrinted>
  <dcterms:modified xsi:type="dcterms:W3CDTF">2001-06-18T15:37:00Z</dcterms:modified>
  <cp:revision>2</cp:revision>
  <dc:subject/>
  <dc:title>BASE CONTRACT FOR SHORT-TERM</dc:title>
</cp:coreProperties>
</file>