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ADDENDUM</w:t>
      </w:r>
    </w:p>
    <w:p>
      <w:pPr>
        <w:pStyle w:val="Normal"/>
        <w:jc w:val="center"/>
        <w:rPr>
          <w:b/>
        </w:rPr>
      </w:pPr>
      <w:r>
        <w:rPr>
          <w:b/>
        </w:rPr>
        <w:t>to the Base Contract for Short-Term</w:t>
      </w:r>
    </w:p>
    <w:p>
      <w:pPr>
        <w:pStyle w:val="Normal"/>
        <w:jc w:val="center"/>
        <w:rPr>
          <w:b/>
        </w:rPr>
      </w:pPr>
      <w:r>
        <w:rPr>
          <w:b/>
        </w:rPr>
        <w:t>Sale and Purchase of Natural Gas</w:t>
      </w:r>
    </w:p>
    <w:p>
      <w:pPr>
        <w:pStyle w:val="Normal"/>
        <w:jc w:val="center"/>
        <w:rPr>
          <w:b/>
        </w:rPr>
      </w:pPr>
      <w:r>
        <w:rPr>
          <w:b/>
        </w:rPr>
        <w:t>between Astoria Generating Company, L.P. ("Astoria")</w:t>
      </w:r>
    </w:p>
    <w:p>
      <w:pPr>
        <w:pStyle w:val="Normal"/>
        <w:jc w:val="center"/>
        <w:rPr>
          <w:b/>
        </w:rPr>
      </w:pPr>
      <w:r>
        <w:rPr>
          <w:b/>
        </w:rPr>
        <w:t>and</w:t>
      </w:r>
    </w:p>
    <w:p>
      <w:pPr>
        <w:pStyle w:val="Normal"/>
        <w:jc w:val="center"/>
        <w:rPr>
          <w:b/>
        </w:rPr>
      </w:pPr>
      <w:r>
        <w:rPr>
          <w:b/>
        </w:rPr>
        <w:t>Enron Capital &amp; Trade Resources Corporation ("Counterparty")</w:t>
      </w:r>
    </w:p>
    <w:p>
      <w:pPr>
        <w:pStyle w:val="Normal"/>
        <w:jc w:val="center"/>
        <w:rPr>
          <w:b/>
        </w:rPr>
      </w:pPr>
      <w:r>
        <w:rPr>
          <w:b/>
        </w:rPr>
      </w:r>
    </w:p>
    <w:p>
      <w:pPr>
        <w:pStyle w:val="Normal"/>
        <w:jc w:val="center"/>
        <w:rPr>
          <w:b/>
        </w:rPr>
      </w:pPr>
      <w:r>
        <w:rPr>
          <w:b/>
        </w:rPr>
        <w:t xml:space="preserve">Dated </w:t>
      </w:r>
      <w:r>
        <w:rPr>
          <w:b/>
          <w:u w:val="single"/>
        </w:rPr>
        <w:t>August 1, 2000</w:t>
      </w:r>
    </w:p>
    <w:p>
      <w:pPr>
        <w:pStyle w:val="Normal"/>
        <w:rPr>
          <w:b/>
        </w:rPr>
      </w:pPr>
      <w:r>
        <w:rPr>
          <w:b/>
        </w:rPr>
      </w:r>
    </w:p>
    <w:p>
      <w:pPr>
        <w:pStyle w:val="Normal"/>
        <w:ind w:hanging="720" w:start="720" w:end="0"/>
        <w:rPr/>
      </w:pPr>
      <w:r>
        <w:rPr/>
        <w:fldChar w:fldCharType="begin"/>
      </w:r>
      <w:r>
        <w:rPr/>
        <w:instrText xml:space="preserve"> SEQ level5 \* ARABIC </w:instrText>
      </w:r>
      <w:r>
        <w:rPr/>
        <w:fldChar w:fldCharType="separate"/>
      </w:r>
      <w:r>
        <w:rPr/>
        <w:t>1</w:t>
      </w:r>
      <w:r>
        <w:rPr/>
        <w:fldChar w:fldCharType="end"/>
      </w:r>
      <w:r>
        <w:rPr/>
        <w:t>.</w:t>
        <w:tab/>
        <w:t xml:space="preserve">The following shall be added to </w:t>
      </w:r>
      <w:r>
        <w:rPr>
          <w:b/>
          <w:i/>
        </w:rPr>
        <w:t>"SECTION 1.  PURPOSE AND PROCEDURES"</w:t>
      </w:r>
      <w:r>
        <w:rPr>
          <w:i/>
        </w:rPr>
        <w:t xml:space="preserve"> </w:t>
      </w:r>
      <w:r>
        <w:rPr/>
        <w:t>as Sections 1.4. and 1.5:</w:t>
      </w:r>
    </w:p>
    <w:p>
      <w:pPr>
        <w:pStyle w:val="Normal"/>
        <w:rPr/>
      </w:pPr>
      <w:r>
        <w:rPr/>
      </w:r>
    </w:p>
    <w:p>
      <w:pPr>
        <w:pStyle w:val="Normal"/>
        <w:ind w:firstLine="720" w:start="720" w:end="0"/>
        <w:rPr/>
      </w:pPr>
      <w:r>
        <w:rPr/>
        <w:t>"1.4</w:t>
        <w:tab/>
        <w:t>Astoria hereby appoints Orion Power Marketing and Supply, Inc. ("Orion") as its agent and attorney-in-fact for any and all purposes relating to Contracts.  Orion shall act through its officers, employees and agents.  The powers of Orion shall include, without limitation, the right to enter into and/or liquidate Contracts on behalf of Astoria in such amounts, at such times and on such other terms as Orion shall determine, the right to issue and/or accept Transaction Confirmations on behalf of Astoria, the right to amend Contracts on behalf of Astoria, the right to give and receive notices and other correspondence relating to Contracts on behalf of Astoria, the right to give or receive payment and/or delivery instructions with respect to Contracts on behalf of Astoria and the right to make or receive payments and/or deliveries in respect of Contracts on behalf of Astoria.  All acts or omissions of Orion under or in connection with Contracts shall have the same force and effect as if taken by a duly authorized employee of Astoria.  Counterparty is hereby authorized and directed to follow the instructions of Orion in every respect concerning Contracts and all matters related thereto.  Astoria hereby ratifies and confirms any and all Contracts entered into by Orion on Astoria's behalf and all actions taken and instructions made or given by Orion under or in connection with Contracts.</w:t>
      </w:r>
    </w:p>
    <w:p>
      <w:pPr>
        <w:pStyle w:val="Normal"/>
        <w:ind w:firstLine="720" w:start="720" w:end="0"/>
        <w:jc w:val="both"/>
        <w:rPr/>
      </w:pPr>
      <w:r>
        <w:rPr/>
      </w:r>
    </w:p>
    <w:p>
      <w:pPr>
        <w:pStyle w:val="Normal"/>
        <w:ind w:firstLine="720" w:start="720" w:end="0"/>
        <w:jc w:val="both"/>
        <w:rPr/>
      </w:pPr>
      <w:r>
        <w:rPr/>
        <w:t>1.5.</w:t>
        <w:tab/>
        <w:t>Each party consents to the recording of all telephone conversations, between its employees and the employees of the other party.  Any such recordings may be submitted into evidence, provided that a proper foundation is laid, for the sole purpose of establishing the formation of any oral agreements between the parties and the terms thereof."</w:t>
      </w:r>
    </w:p>
    <w:p>
      <w:pPr>
        <w:pStyle w:val="Normal"/>
        <w:rPr/>
      </w:pPr>
      <w:r>
        <w:rPr/>
      </w:r>
    </w:p>
    <w:p>
      <w:pPr>
        <w:pStyle w:val="Normal"/>
        <w:ind w:hanging="720" w:start="720" w:end="0"/>
        <w:rPr/>
      </w:pPr>
      <w:r>
        <w:rPr/>
        <w:fldChar w:fldCharType="begin"/>
      </w:r>
      <w:r>
        <w:rPr/>
        <w:instrText xml:space="preserve"> SEQ level5 \* ARABIC </w:instrText>
      </w:r>
      <w:r>
        <w:rPr/>
        <w:fldChar w:fldCharType="separate"/>
      </w:r>
      <w:r>
        <w:rPr/>
        <w:t>2</w:t>
      </w:r>
      <w:r>
        <w:rPr/>
        <w:fldChar w:fldCharType="end"/>
      </w:r>
      <w:r>
        <w:rPr/>
        <w:t>.</w:t>
        <w:tab/>
        <w:t xml:space="preserve">The following shall be added to </w:t>
      </w:r>
      <w:r>
        <w:rPr>
          <w:b/>
          <w:i/>
        </w:rPr>
        <w:t>"SECTION 7.  BILLING, PAYMENT AND AUDIT"</w:t>
      </w:r>
      <w:r>
        <w:rPr/>
        <w:t xml:space="preserve"> as Section 7.5:</w:t>
      </w:r>
    </w:p>
    <w:p>
      <w:pPr>
        <w:pStyle w:val="Normal"/>
        <w:rPr/>
      </w:pPr>
      <w:r>
        <w:rPr/>
      </w:r>
    </w:p>
    <w:p>
      <w:pPr>
        <w:pStyle w:val="Normal"/>
        <w:ind w:firstLine="720" w:start="720" w:end="0"/>
        <w:jc w:val="both"/>
        <w:rPr/>
      </w:pPr>
      <w:r>
        <w:rPr/>
        <w:t>"7.5.</w:t>
        <w:tab/>
        <w:t>Notwithstanding any provision of this Agreement (as defined in Section 10.4) to the contrary, if in any Month (each, a "Relevant Month") each of the parties is required to pay one or more amounts under this Agreement to the other party for Gas that was delivered and received, and/or that should have been delivered or received, in the immediately preceding Month, then all such amounts owed by one party shall be offset against all such amounts owed by the other party so that only the net amount (the "Net Amount") shall be paid by the party having the greater payment obligation for the Relevant Month.  Astoria shall determine the Net Amount for each Relevant Month and shall notify Counterparty of such Net Amount and the identity of the party that owes it.  The Net Amount shall be payable by the party that owes it on or before the later of the date that a payment otherwise would have been due from such party under Section 7.2 or 2 days after Counterparty's receipt or Astoria's issuance, as applicable, of the notice referred to in the immediately preceding sentence.  The parties shall confer and cooperate as appropriate to administer this Section 7.5.</w:t>
      </w:r>
    </w:p>
    <w:p>
      <w:pPr>
        <w:pStyle w:val="Normal"/>
        <w:rPr/>
      </w:pPr>
      <w:r>
        <w:rPr/>
      </w:r>
    </w:p>
    <w:p>
      <w:pPr>
        <w:pStyle w:val="Normal"/>
        <w:ind w:hanging="720" w:start="720" w:end="0"/>
        <w:jc w:val="both"/>
        <w:rPr/>
      </w:pPr>
      <w:r>
        <w:rPr/>
        <w:fldChar w:fldCharType="begin"/>
      </w:r>
      <w:r>
        <w:rPr/>
        <w:instrText xml:space="preserve"> SEQ level5 \* ARABIC </w:instrText>
      </w:r>
      <w:r>
        <w:rPr/>
        <w:fldChar w:fldCharType="separate"/>
      </w:r>
      <w:r>
        <w:rPr/>
        <w:t>3</w:t>
      </w:r>
      <w:r>
        <w:rPr/>
        <w:fldChar w:fldCharType="end"/>
      </w:r>
      <w:r>
        <w:rPr/>
        <w:t>.</w:t>
        <w:tab/>
        <w:t xml:space="preserve">The first sentence of </w:t>
      </w:r>
      <w:r>
        <w:rPr>
          <w:b/>
          <w:i/>
        </w:rPr>
        <w:t>SECTION 8.3</w:t>
      </w:r>
      <w:r>
        <w:rPr>
          <w:i/>
        </w:rPr>
        <w:t xml:space="preserve"> </w:t>
      </w:r>
      <w:r>
        <w:rPr/>
        <w:t>shall be amended by the addition of the word "reasonable" between the words "including" and "attorneys".</w:t>
      </w:r>
    </w:p>
    <w:p>
      <w:pPr>
        <w:pStyle w:val="Normal"/>
        <w:rPr/>
      </w:pPr>
      <w:r>
        <w:rPr/>
      </w:r>
    </w:p>
    <w:p>
      <w:pPr>
        <w:pStyle w:val="Normal"/>
        <w:ind w:hanging="720" w:start="720" w:end="0"/>
        <w:jc w:val="both"/>
        <w:rPr/>
      </w:pPr>
      <w:r>
        <w:rPr/>
        <w:fldChar w:fldCharType="begin"/>
      </w:r>
      <w:r>
        <w:rPr/>
        <w:instrText xml:space="preserve"> SEQ level5 \* ARABIC </w:instrText>
      </w:r>
      <w:r>
        <w:rPr/>
        <w:fldChar w:fldCharType="separate"/>
      </w:r>
      <w:r>
        <w:rPr/>
        <w:t>4</w:t>
      </w:r>
      <w:r>
        <w:rPr/>
        <w:fldChar w:fldCharType="end"/>
      </w:r>
      <w:r>
        <w:rPr/>
        <w:t>.</w:t>
        <w:tab/>
        <w:t>The third (3</w:t>
      </w:r>
      <w:r>
        <w:rPr>
          <w:vertAlign w:val="superscript"/>
        </w:rPr>
        <w:t>rd</w:t>
      </w:r>
      <w:r>
        <w:rPr/>
        <w:t>) and fourth (4</w:t>
      </w:r>
      <w:r>
        <w:rPr>
          <w:vertAlign w:val="superscript"/>
        </w:rPr>
        <w:t>th</w:t>
      </w:r>
      <w:r>
        <w:rPr/>
        <w:t xml:space="preserve">) sentences of </w:t>
      </w:r>
      <w:r>
        <w:rPr>
          <w:b/>
          <w:i/>
        </w:rPr>
        <w:t>"SECTION 10.  FINANCIAL RESPONSIBILITY"</w:t>
      </w:r>
      <w:r>
        <w:rPr>
          <w:i/>
        </w:rPr>
        <w:t xml:space="preserve"> </w:t>
      </w:r>
      <w:r>
        <w:rPr/>
        <w:t>shall be deleted in their entirety and replaced with the following:</w:t>
      </w:r>
    </w:p>
    <w:p>
      <w:pPr>
        <w:pStyle w:val="Normal"/>
        <w:rPr/>
      </w:pPr>
      <w:r>
        <w:rPr/>
      </w:r>
    </w:p>
    <w:p>
      <w:pPr>
        <w:pStyle w:val="Normal"/>
        <w:ind w:firstLine="720" w:start="720" w:end="0"/>
        <w:jc w:val="both"/>
        <w:rPr/>
      </w:pPr>
      <w:r>
        <w:rPr/>
        <w:t>"Notwithstanding and in addition to but not in limitation of any other provision of this Agreement or of any other agreement between the parties, in the event (each a "Default") either party (the "Defaulting Party") shall (i) make an assignment or any general arrangement for the benefit of creditors, (ii) become bankrupt or insolvent, however evidenced, or be unable to pay its debts as they fall due, (iii) file a petition or otherwise commence a proceeding under any bankruptcy, insolvency, reorganization or similar law; or have any such petition filed or proceeding commenced against it, (iv) have a liquidator, administrator, receiver or trustee appointed with respect to it or any substantial portion of its property or assets, (v) fail to pay or perform, when due, any obligation to the other party (the "Non-Defaulting Party"), whether under this Agreement, any transaction under this Agreement or in connection with credit support obligations or otherwise (other than its obligations to deliver or receive natural gas, the exclusive remedy for which is provided in Section 3.2 hereof) and such failure is not cured within two (2) Business Days after written notice thereof to the Defaulting Party, or (vi) fail to provide adequate assurance of its ability to perform all of its outstanding obligations to the Non-Defaulting Party under this Agreement, any transaction under this Agreement or otherwise within a period not to exceed 48 hours (but at least one Business Day) of a demand therefor when the Non-Defaulting Party has reasonable grounds for insecurity, then in any such event the Non-Defaulting Party shall have the right, without notice, to liquidate any or all Forward Contracts (including any portion of a Forward Contract not yet fully delivered) then outstanding at any time or from time to time thereafter by:</w:t>
      </w:r>
    </w:p>
    <w:p>
      <w:pPr>
        <w:pStyle w:val="Normal"/>
        <w:rPr/>
      </w:pPr>
      <w:r>
        <w:rPr/>
      </w:r>
    </w:p>
    <w:p>
      <w:pPr>
        <w:pStyle w:val="Normal"/>
        <w:ind w:start="1440" w:end="0"/>
        <w:rPr/>
      </w:pPr>
      <w:r>
        <w:rPr/>
        <w:t>10.1.1</w:t>
        <w:tab/>
        <w:t>Closing out each priced Forward Contract or priced portion of a Forward Contract being liquidated at its Market Value, as defined below, so that each such Forward Contract is canceled and a settlement payment in an amount equal to the difference between such Market Value and the Contract Value, as defined below, of such Forward Contract shall be due to the Buyer under the Forward Contract if such Market Value exceeds the Contract Value and to the Seller if the opposite is the case; and</w:t>
      </w:r>
    </w:p>
    <w:p>
      <w:pPr>
        <w:pStyle w:val="Normal"/>
        <w:rPr/>
      </w:pPr>
      <w:r>
        <w:rPr/>
      </w:r>
    </w:p>
    <w:p>
      <w:pPr>
        <w:pStyle w:val="Normal"/>
        <w:ind w:start="1440" w:end="0"/>
        <w:jc w:val="both"/>
        <w:rPr/>
      </w:pPr>
      <w:r>
        <w:rPr/>
        <w:t>10.1.2</w:t>
        <w:tab/>
        <w:t>Closing out each unpriced Forward Contract or unpriced portion of a Forward Contract being liquidated at the amount, if any, which the Non-Defaulting Party would have to pay or would receive if it were to replace such Forward Contract, such settlement payment to be determined by the Non-Defaulting Party in a commercially reasonable manner and to be due to the Non-Defaulting Party if a payment and to the Defaulting Party if an amount to be received; and</w:t>
      </w:r>
    </w:p>
    <w:p>
      <w:pPr>
        <w:pStyle w:val="Normal"/>
        <w:rPr/>
      </w:pPr>
      <w:r>
        <w:rPr/>
      </w:r>
    </w:p>
    <w:p>
      <w:pPr>
        <w:pStyle w:val="Normal"/>
        <w:ind w:start="1440" w:end="0"/>
        <w:jc w:val="both"/>
        <w:rPr/>
      </w:pPr>
      <w:r>
        <w:rPr/>
        <w:t>10.1.3</w:t>
        <w:tab/>
        <w:t>Discounting each amount then due under Section 10.1.1 to present value as at the time of liquidation (to take account of the period between the date of liquidation and the date on which such amount would have otherwise been due pursuant to the relevant Forward Contract);</w:t>
      </w:r>
    </w:p>
    <w:p>
      <w:pPr>
        <w:pStyle w:val="Normal"/>
        <w:rPr/>
      </w:pPr>
      <w:r>
        <w:rPr/>
      </w:r>
    </w:p>
    <w:p>
      <w:pPr>
        <w:pStyle w:val="Normal"/>
        <w:ind w:start="1440" w:end="0"/>
        <w:jc w:val="both"/>
        <w:rPr/>
      </w:pPr>
      <w:r>
        <w:rPr/>
        <w:t>10.1.4</w:t>
        <w:tab/>
        <w:t>Setting off or aggregating, as appropriate, any or all settlement payments (discounted as appropriate) and (at the election of the Non-Defaulting Party) any or all other amounts owing between the parties this Agreement or under any Forward Contract so that all such amounts are aggregated and/or netted to a single liquidated amount payable by one party to the other."</w:t>
      </w:r>
    </w:p>
    <w:p>
      <w:pPr>
        <w:pStyle w:val="Normal"/>
        <w:rPr/>
      </w:pPr>
      <w:r>
        <w:rPr/>
      </w:r>
    </w:p>
    <w:p>
      <w:pPr>
        <w:pStyle w:val="Normal"/>
        <w:ind w:start="1440" w:end="0"/>
        <w:jc w:val="both"/>
        <w:rPr/>
      </w:pPr>
      <w:r>
        <w:rPr/>
        <w:t>The net amount due after any such liquidation shall be paid by the close of business on the next business day.</w:t>
      </w:r>
    </w:p>
    <w:p>
      <w:pPr>
        <w:pStyle w:val="Normal"/>
        <w:rPr/>
      </w:pPr>
      <w:r>
        <w:rPr/>
      </w:r>
    </w:p>
    <w:p>
      <w:pPr>
        <w:pStyle w:val="Normal"/>
        <w:keepNext w:val="true"/>
        <w:ind w:hanging="720" w:start="720" w:end="0"/>
        <w:rPr/>
      </w:pPr>
      <w:r>
        <w:rPr/>
        <w:fldChar w:fldCharType="begin"/>
      </w:r>
      <w:r>
        <w:rPr/>
        <w:instrText xml:space="preserve"> SEQ level5 \* ARABIC </w:instrText>
      </w:r>
      <w:r>
        <w:rPr/>
        <w:fldChar w:fldCharType="separate"/>
      </w:r>
      <w:r>
        <w:rPr/>
        <w:t>5</w:t>
      </w:r>
      <w:r>
        <w:rPr/>
        <w:fldChar w:fldCharType="end"/>
      </w:r>
      <w:r>
        <w:rPr/>
        <w:t>.</w:t>
        <w:tab/>
        <w:t xml:space="preserve">The following shall be added to </w:t>
      </w:r>
      <w:r>
        <w:rPr>
          <w:b/>
          <w:i/>
        </w:rPr>
        <w:t>"SECTION 10.  FINANCIAL RESPONSIBILITY"</w:t>
      </w:r>
      <w:r>
        <w:rPr>
          <w:i/>
        </w:rPr>
        <w:t xml:space="preserve"> </w:t>
      </w:r>
      <w:r>
        <w:rPr/>
        <w:t>as new Sections 10.3 through 10.6:</w:t>
      </w:r>
    </w:p>
    <w:p>
      <w:pPr>
        <w:pStyle w:val="Normal"/>
        <w:keepNext w:val="true"/>
        <w:rPr/>
      </w:pPr>
      <w:r>
        <w:rPr/>
      </w:r>
    </w:p>
    <w:p>
      <w:pPr>
        <w:pStyle w:val="Normal"/>
        <w:ind w:firstLine="720" w:start="720" w:end="0"/>
        <w:jc w:val="both"/>
        <w:rPr/>
      </w:pPr>
      <w:r>
        <w:rPr/>
        <w:t>"10.3</w:t>
        <w:tab/>
        <w:t>The Non-Defaulting Party's rights under this Section 10 are in addition to, and not in limitation or exclusion of, any other rights which the Non-Defaulting Party may have (whether by agreement, operation of law or otherwise).  If a Default occurs, the Non-Defaulting Party may (at its election) from time to time set off any or all amounts which the Defaulting Party owes to it (whether under this Agreement, any Forward Contract or otherwise and whether or not then due), provided that any amount not then due which is included in such setoff shall be discounted to present value as at the time of setoff (to take account of the period between the date of setoff and the date on which such amount would have otherwise been due).</w:t>
      </w:r>
    </w:p>
    <w:p>
      <w:pPr>
        <w:pStyle w:val="Normal"/>
        <w:rPr/>
      </w:pPr>
      <w:r>
        <w:rPr/>
      </w:r>
    </w:p>
    <w:p>
      <w:pPr>
        <w:pStyle w:val="Normal"/>
        <w:ind w:firstLine="720" w:start="720" w:end="0"/>
        <w:jc w:val="both"/>
        <w:rPr/>
      </w:pPr>
      <w:r>
        <w:rPr/>
        <w:t>10.4</w:t>
        <w:tab/>
        <w:t>The Base Contract (including, without limitation, the General Terms and Conditions and the Addendum to the Base Contract) and all transactions entered into by the parties under the Base Contract shall constitute a single agreement between the parties (the "Agreement").  For purposes of this Agreement, "Forward Contract" means any agreement constituting a "forward contract" within the meaning of</w:t>
      </w:r>
      <w:r>
        <w:rPr>
          <w:i/>
        </w:rPr>
        <w:t xml:space="preserve"> </w:t>
      </w:r>
      <w:r>
        <w:rPr/>
        <w:t>the United States Bankruptcy Code including, without limitation, a transaction under this Agreement or any other agreement for the, purchase, sale or transfer (including a swap) of natural gas or any other hydrocarbon or interest related thereto which has a maturity date or Delivery Period more than two days after the date the Forward Contract is entered into; "Contract Value" means the amount of Gas or other product remaining to be delivered multiplied by the Contract Price; and "Market Value" means the amount of Gas or other product remaining to be delivered multiplied by the market price per unit determined by the Non-Defaulting Party in a commercially reasonable manner. The rate of interest used in calculating present value shall be determined by the Non-Defaulting Party in a commercially reasonable manner.</w:t>
      </w:r>
    </w:p>
    <w:p>
      <w:pPr>
        <w:pStyle w:val="Normal"/>
        <w:rPr/>
      </w:pPr>
      <w:r>
        <w:rPr/>
      </w:r>
    </w:p>
    <w:p>
      <w:pPr>
        <w:pStyle w:val="Normal"/>
        <w:numPr>
          <w:ilvl w:val="0"/>
          <w:numId w:val="1"/>
        </w:numPr>
        <w:ind w:firstLine="720" w:start="720" w:end="0"/>
        <w:jc w:val="both"/>
        <w:rPr/>
      </w:pPr>
      <w:r>
        <w:rPr/>
        <w:t>Notice that a liquidation pursuant to this Section 10 has occurred shall be given by the Non-Defaulting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Non-Defaulting Party.</w:t>
      </w:r>
    </w:p>
    <w:p>
      <w:pPr>
        <w:pStyle w:val="Normal"/>
        <w:numPr>
          <w:ilvl w:val="0"/>
          <w:numId w:val="0"/>
        </w:numPr>
        <w:ind w:hanging="0" w:start="1440" w:end="0"/>
        <w:jc w:val="both"/>
        <w:rPr/>
      </w:pPr>
      <w:r>
        <w:rPr/>
      </w:r>
    </w:p>
    <w:p>
      <w:pPr>
        <w:pStyle w:val="Normal"/>
        <w:numPr>
          <w:ilvl w:val="0"/>
          <w:numId w:val="1"/>
        </w:numPr>
        <w:ind w:firstLine="720" w:start="720" w:end="0"/>
        <w:jc w:val="both"/>
        <w:rPr/>
      </w:pPr>
      <w:r>
        <w:rPr/>
        <w:t>Without limiting any other rights of the Non-Defaulting Party under this Section 10 or otherwise, after the occurrence of a Default, the Non-Defaulting Party shall have the right to withhold and/or suspend deliveries or payments under this Agreement and/or any Forward Contract."</w:t>
      </w:r>
    </w:p>
    <w:p>
      <w:pPr>
        <w:pStyle w:val="Normal"/>
        <w:rPr/>
      </w:pPr>
      <w:r>
        <w:rPr/>
      </w:r>
    </w:p>
    <w:p>
      <w:pPr>
        <w:pStyle w:val="Normal"/>
        <w:ind w:hanging="720" w:start="720" w:end="0"/>
        <w:rPr/>
      </w:pPr>
      <w:r>
        <w:rPr/>
        <w:fldChar w:fldCharType="begin"/>
      </w:r>
      <w:r>
        <w:rPr/>
        <w:instrText xml:space="preserve"> SEQ level5 \* ARABIC </w:instrText>
      </w:r>
      <w:r>
        <w:rPr/>
        <w:fldChar w:fldCharType="separate"/>
      </w:r>
      <w:r>
        <w:rPr/>
        <w:t>6</w:t>
      </w:r>
      <w:r>
        <w:rPr/>
        <w:fldChar w:fldCharType="end"/>
      </w:r>
      <w:r>
        <w:rPr/>
        <w:t>.</w:t>
        <w:tab/>
        <w:t>The second sentence of</w:t>
      </w:r>
      <w:r>
        <w:rPr>
          <w:i/>
        </w:rPr>
        <w:t xml:space="preserve"> </w:t>
      </w:r>
      <w:r>
        <w:rPr>
          <w:b/>
          <w:i/>
        </w:rPr>
        <w:t>SECTION 13.1</w:t>
      </w:r>
      <w:r>
        <w:rPr>
          <w:i/>
        </w:rPr>
        <w:t xml:space="preserve"> </w:t>
      </w:r>
      <w:r>
        <w:rPr/>
        <w:t>shall be deleted in its entirety and replaced with the following:</w:t>
      </w:r>
    </w:p>
    <w:p>
      <w:pPr>
        <w:pStyle w:val="Normal"/>
        <w:rPr/>
      </w:pPr>
      <w:r>
        <w:rPr/>
      </w:r>
    </w:p>
    <w:p>
      <w:pPr>
        <w:pStyle w:val="Normal"/>
        <w:ind w:firstLine="720" w:start="720" w:end="0"/>
        <w:jc w:val="both"/>
        <w:rPr/>
      </w:pPr>
      <w:r>
        <w:rPr/>
        <w:t>"No assignment of this Contract, in whole or in part, will be made without the prior written consent of the non-assigning party, which consent will not be unreasonably withheld or delayed; provided, however, that either party may, without the consent of the other party (and without relieving itself from liability hereunder), (i) transfer, sell, pledge, encumber or assign this Contract or the accounts, revenues or proceeds hereof in connection with any financing or other financial arrangements, (ii) transfer or assign this Contract to an affiliate of such party which affiliate's creditworthiness is comparable to or higher than that of such party, or (iii) transfer or assign this Contract to any person or entity succeeding to all or substantially all of the assets of such party; provided, however, that in each such case, any such assignee shall agree to in writing be bound by the terms and conditions hereof."</w:t>
      </w:r>
    </w:p>
    <w:p>
      <w:pPr>
        <w:pStyle w:val="Normal"/>
        <w:ind w:firstLine="720" w:start="720" w:end="0"/>
        <w:jc w:val="both"/>
        <w:rPr/>
      </w:pPr>
      <w:r>
        <w:rPr/>
      </w:r>
    </w:p>
    <w:p>
      <w:pPr>
        <w:pStyle w:val="Normal"/>
        <w:ind w:hanging="720" w:start="720" w:end="0"/>
        <w:rPr/>
      </w:pPr>
      <w:r>
        <w:rPr/>
        <w:t>7.</w:t>
        <w:tab/>
        <w:t xml:space="preserve">The following shall be added to </w:t>
      </w:r>
      <w:r>
        <w:rPr>
          <w:b/>
          <w:i/>
        </w:rPr>
        <w:t>"SECTION 13.</w:t>
      </w:r>
      <w:r>
        <w:rPr>
          <w:b/>
        </w:rPr>
        <w:t xml:space="preserve"> </w:t>
      </w:r>
      <w:r>
        <w:rPr>
          <w:b/>
          <w:i/>
        </w:rPr>
        <w:t>MISCELLANEOUS"</w:t>
      </w:r>
      <w:r>
        <w:rPr>
          <w:i/>
        </w:rPr>
        <w:t xml:space="preserve"> </w:t>
      </w:r>
      <w:r>
        <w:rPr/>
        <w:t>as a new Section 13.10:</w:t>
      </w:r>
    </w:p>
    <w:p>
      <w:pPr>
        <w:pStyle w:val="Normal"/>
        <w:rPr/>
      </w:pPr>
      <w:r>
        <w:rPr/>
      </w:r>
    </w:p>
    <w:p>
      <w:pPr>
        <w:pStyle w:val="Normal"/>
        <w:ind w:firstLine="720" w:start="720" w:end="0"/>
        <w:jc w:val="both"/>
        <w:rPr/>
      </w:pPr>
      <w:r>
        <w:rPr/>
        <w:t>13. 10.</w:t>
        <w:tab/>
        <w:t>Notwithstanding any other provision of this Contract to the contrary, with regard to references to "Imbalance Charges" in Sections 2.15, 2.18, 4.3, 11.1 and 11.3, it is understood and agreed that upon receiving notice of Force Majeure, the party not claiming Force Majeure shall adjust nominations with its Transporter(s) to account for any change in quantities to be delivered or received. Such nomination change shall be made as soon as practicable after receipt of notice of such event of Force Majeure, but not later than the next Business Day thereafter."</w:t>
      </w:r>
      <w:r>
        <w:rPr>
          <w:rStyle w:val="FootnoteCharacters"/>
          <w:rStyle w:val="FootnoteReference"/>
        </w:rPr>
        <w:footnoteReference w:id="2"/>
      </w:r>
    </w:p>
    <w:p>
      <w:pPr>
        <w:pStyle w:val="Normal"/>
        <w:ind w:start="720" w:end="0"/>
        <w:jc w:val="both"/>
        <w:rPr>
          <w:rFonts w:ascii="CG Times" w:hAnsi="CG Times" w:cs="CG Times"/>
        </w:rPr>
      </w:pPr>
      <w:r>
        <w:rPr>
          <w:rFonts w:cs="CG Times" w:ascii="CG Times" w:hAnsi="CG Times"/>
        </w:rPr>
      </w:r>
    </w:p>
    <w:p>
      <w:pPr>
        <w:pStyle w:val="Normal"/>
        <w:ind w:start="720" w:end="0"/>
        <w:jc w:val="both"/>
        <w:rPr>
          <w:rFonts w:ascii="CG Times" w:hAnsi="CG Times" w:cs="CG Times"/>
        </w:rPr>
      </w:pPr>
      <w:r>
        <w:rPr>
          <w:rFonts w:cs="CG Times" w:ascii="CG Times" w:hAnsi="CG Time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rPr>
            </w:pPr>
            <w:r>
              <w:rPr>
                <w:b/>
              </w:rPr>
              <w:t>Agreed:</w:t>
            </w:r>
          </w:p>
        </w:tc>
        <w:tc>
          <w:tcPr>
            <w:tcW w:w="4788" w:type="dxa"/>
            <w:tcBorders/>
          </w:tcPr>
          <w:p>
            <w:pPr>
              <w:pStyle w:val="Normal"/>
              <w:rPr>
                <w:b/>
              </w:rPr>
            </w:pPr>
            <w:r>
              <w:rPr>
                <w:b/>
              </w:rPr>
              <w:t>Agreed:</w:t>
            </w:r>
          </w:p>
        </w:tc>
      </w:tr>
      <w:tr>
        <w:trPr/>
        <w:tc>
          <w:tcPr>
            <w:tcW w:w="4788" w:type="dxa"/>
            <w:tcBorders/>
          </w:tcPr>
          <w:p>
            <w:pPr>
              <w:pStyle w:val="Normal"/>
              <w:snapToGrid w:val="false"/>
              <w:rPr>
                <w:b/>
              </w:rPr>
            </w:pPr>
            <w:r>
              <w:rPr>
                <w:b/>
              </w:rPr>
            </w:r>
          </w:p>
        </w:tc>
        <w:tc>
          <w:tcPr>
            <w:tcW w:w="4788" w:type="dxa"/>
            <w:tcBorders/>
          </w:tcPr>
          <w:p>
            <w:pPr>
              <w:pStyle w:val="Normal"/>
              <w:snapToGrid w:val="false"/>
              <w:rPr>
                <w:b/>
              </w:rPr>
            </w:pPr>
            <w:r>
              <w:rPr>
                <w:b/>
              </w:rPr>
            </w:r>
          </w:p>
        </w:tc>
      </w:tr>
      <w:tr>
        <w:trPr/>
        <w:tc>
          <w:tcPr>
            <w:tcW w:w="4788" w:type="dxa"/>
            <w:tcBorders/>
          </w:tcPr>
          <w:p>
            <w:pPr>
              <w:pStyle w:val="Normal"/>
              <w:rPr>
                <w:b/>
              </w:rPr>
            </w:pPr>
            <w:r>
              <w:rPr>
                <w:b/>
              </w:rPr>
              <w:t>ASTORIA GENERATING COMPANY, L.P.</w:t>
            </w:r>
          </w:p>
        </w:tc>
        <w:tc>
          <w:tcPr>
            <w:tcW w:w="4788" w:type="dxa"/>
            <w:tcBorders/>
          </w:tcPr>
          <w:p>
            <w:pPr>
              <w:pStyle w:val="Normal"/>
              <w:rPr>
                <w:b/>
              </w:rPr>
            </w:pPr>
            <w:r>
              <w:rPr>
                <w:b/>
              </w:rPr>
              <w:t>ENRON CAPITAL &amp; TRADE RESOURCES CORPORATION</w:t>
            </w:r>
          </w:p>
        </w:tc>
      </w:tr>
      <w:tr>
        <w:trPr/>
        <w:tc>
          <w:tcPr>
            <w:tcW w:w="4788" w:type="dxa"/>
            <w:tcBorders/>
          </w:tcPr>
          <w:p>
            <w:pPr>
              <w:pStyle w:val="Normal"/>
              <w:snapToGrid w:val="false"/>
              <w:rPr>
                <w:b/>
              </w:rPr>
            </w:pPr>
            <w:r>
              <w:rPr>
                <w:b/>
              </w:rPr>
            </w:r>
          </w:p>
        </w:tc>
        <w:tc>
          <w:tcPr>
            <w:tcW w:w="4788" w:type="dxa"/>
            <w:tcBorders/>
          </w:tcPr>
          <w:p>
            <w:pPr>
              <w:pStyle w:val="Normal"/>
              <w:snapToGrid w:val="false"/>
              <w:rPr/>
            </w:pPr>
            <w:r>
              <w:rPr/>
            </w:r>
          </w:p>
        </w:tc>
      </w:tr>
      <w:tr>
        <w:trPr/>
        <w:tc>
          <w:tcPr>
            <w:tcW w:w="4788" w:type="dxa"/>
            <w:tcBorders/>
          </w:tcPr>
          <w:p>
            <w:pPr>
              <w:pStyle w:val="Normal"/>
              <w:rPr/>
            </w:pPr>
            <w:r>
              <w:rPr/>
              <w:t>By:_______________</w:t>
            </w:r>
          </w:p>
        </w:tc>
        <w:tc>
          <w:tcPr>
            <w:tcW w:w="4788" w:type="dxa"/>
            <w:tcBorders/>
          </w:tcPr>
          <w:p>
            <w:pPr>
              <w:pStyle w:val="Normal"/>
              <w:rPr/>
            </w:pPr>
            <w:r>
              <w:rPr/>
              <w:t>By:_______________</w:t>
            </w:r>
          </w:p>
        </w:tc>
      </w:tr>
      <w:tr>
        <w:trPr/>
        <w:tc>
          <w:tcPr>
            <w:tcW w:w="4788" w:type="dxa"/>
            <w:tcBorders/>
          </w:tcPr>
          <w:p>
            <w:pPr>
              <w:pStyle w:val="Normal"/>
              <w:rPr/>
            </w:pPr>
            <w:r>
              <w:rPr/>
              <w:t>Name:_____________</w:t>
            </w:r>
          </w:p>
        </w:tc>
        <w:tc>
          <w:tcPr>
            <w:tcW w:w="4788" w:type="dxa"/>
            <w:tcBorders/>
          </w:tcPr>
          <w:p>
            <w:pPr>
              <w:pStyle w:val="Normal"/>
              <w:rPr/>
            </w:pPr>
            <w:r>
              <w:rPr/>
              <w:t>Name:_____________</w:t>
            </w:r>
          </w:p>
        </w:tc>
      </w:tr>
      <w:tr>
        <w:trPr/>
        <w:tc>
          <w:tcPr>
            <w:tcW w:w="4788" w:type="dxa"/>
            <w:tcBorders/>
          </w:tcPr>
          <w:p>
            <w:pPr>
              <w:pStyle w:val="Normal"/>
              <w:rPr/>
            </w:pPr>
            <w:r>
              <w:rPr/>
              <w:t>Title:______________</w:t>
            </w:r>
          </w:p>
        </w:tc>
        <w:tc>
          <w:tcPr>
            <w:tcW w:w="4788" w:type="dxa"/>
            <w:tcBorders/>
          </w:tcPr>
          <w:p>
            <w:pPr>
              <w:pStyle w:val="Normal"/>
              <w:rPr/>
            </w:pPr>
            <w:r>
              <w:rPr/>
              <w:t>Title:______________</w:t>
            </w:r>
          </w:p>
        </w:tc>
      </w:tr>
    </w:tbl>
    <w:p>
      <w:pPr>
        <w:pStyle w:val="Normal"/>
        <w:rPr/>
      </w:pPr>
      <w:r>
        <w:rPr/>
      </w:r>
    </w:p>
    <w:sectPr>
      <w:footerReference w:type="default" r:id="rId2"/>
      <w:footerReference w:type="first" r:id="rId3"/>
      <w:footnotePr>
        <w:numFmt w:val="decimal"/>
      </w:footnotePr>
      <w:type w:val="nextPage"/>
      <w:pgSz w:w="12240" w:h="15840"/>
      <w:pgMar w:left="1440" w:right="1440" w:gutter="0" w:header="0" w:top="7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851626v6</w:t>
    </w:r>
  </w:p>
  <w:p>
    <w:pPr>
      <w:pStyle w:val="Footer"/>
      <w:rPr>
        <w:sz w:val="16"/>
      </w:rPr>
    </w:pPr>
    <w:r>
      <w:rPr>
        <w:sz w:val="16"/>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851626v6</w:t>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ind w:hanging="720" w:start="720" w:end="0"/>
        <w:rPr/>
      </w:pPr>
      <w:r>
        <w:rPr>
          <w:rStyle w:val="FootnoteCharacters"/>
        </w:rPr>
        <w:footnoteRef/>
      </w:r>
      <w:r>
        <w:rPr/>
        <w:t xml:space="preserve"> </w:t>
      </w:r>
      <w:r>
        <w:rPr/>
        <w:tab/>
        <w:t>The following additional provision should be added to this Addendum when the Counterparty is not a U.S. person or entity:</w:t>
      </w:r>
    </w:p>
    <w:p>
      <w:pPr>
        <w:pStyle w:val="FootnoteText"/>
        <w:rPr/>
      </w:pPr>
      <w:r>
        <w:rPr/>
      </w:r>
    </w:p>
    <w:p>
      <w:pPr>
        <w:pStyle w:val="Normal"/>
        <w:rPr/>
      </w:pPr>
      <w:r>
        <w:rPr/>
        <w:tab/>
      </w:r>
      <w:r>
        <w:rPr>
          <w:sz w:val="20"/>
        </w:rPr>
        <w:t>8.</w:t>
        <w:tab/>
      </w:r>
      <w:r>
        <w:rPr>
          <w:b/>
          <w:i/>
          <w:sz w:val="20"/>
        </w:rPr>
        <w:t>Section 13.5</w:t>
      </w:r>
      <w:r>
        <w:rPr>
          <w:sz w:val="20"/>
        </w:rPr>
        <w:t xml:space="preserve"> shall be amended to read as follows:</w:t>
      </w:r>
    </w:p>
    <w:p>
      <w:pPr>
        <w:pStyle w:val="Normal"/>
        <w:rPr>
          <w:sz w:val="20"/>
        </w:rPr>
      </w:pPr>
      <w:r>
        <w:rPr>
          <w:sz w:val="20"/>
        </w:rPr>
      </w:r>
    </w:p>
    <w:p>
      <w:pPr>
        <w:pStyle w:val="Normal"/>
        <w:ind w:start="720" w:end="0"/>
        <w:rPr>
          <w:sz w:val="20"/>
        </w:rPr>
      </w:pPr>
      <w:r>
        <w:rPr>
          <w:sz w:val="20"/>
        </w:rPr>
        <w:tab/>
        <w:t>13.5.</w:t>
        <w:tab/>
        <w:t>The interpretation and performance of this Agreement shall be governed by the laws of the state specified by the parties in the Base Contract, excluding, however, any conflict of laws rule which would apply the law of another jurisdiction.  The U.N. Convention on Contracts for the International Sale of Goods shall not apply to this Contract.</w:t>
      </w:r>
    </w:p>
    <w:p>
      <w:pPr>
        <w:pStyle w:val="FootnoteText"/>
        <w:rPr>
          <w:sz w:val="20"/>
        </w:rPr>
      </w:pPr>
      <w:r>
        <w:rPr>
          <w:sz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0.%1 "/>
      <w:lvlJc w:val="start"/>
      <w:pPr>
        <w:tabs>
          <w:tab w:val="num" w:pos="360"/>
        </w:tabs>
        <w:ind w:start="1800" w:hanging="360"/>
      </w:pPr>
      <w:rPr>
        <w:sz w:val="24"/>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 w:val="851626"/>
    <w:docVar w:name="OldDocNum" w:val="851626v6"/>
    <w:docVar w:name="Ver" w:val="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b w:val="false"/>
      <w:i w:val="false"/>
      <w:sz w:val="24"/>
      <w:u w:val="none"/>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0"/>
      <w:ind w:hanging="720" w:start="720" w:end="0"/>
    </w:pPr>
    <w:rPr>
      <w:sz w:val="20"/>
    </w:rPr>
  </w:style>
  <w:style w:type="paragraph" w:styleId="EndnoteText">
    <w:name w:val="endnote text"/>
    <w:basedOn w:val="Normal"/>
    <w:pPr>
      <w:spacing w:before="120" w:after="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2000-08-04T17:22:00Z</dcterms:created>
  <dc:creator>slebouef</dc:creator>
  <dc:description/>
  <dc:language>en-CA</dc:language>
  <cp:lastModifiedBy>Priscilla Babilonia</cp:lastModifiedBy>
  <cp:lastPrinted>2000-07-31T15:54:00Z</cp:lastPrinted>
  <dcterms:modified xsi:type="dcterms:W3CDTF">2000-08-04T17:22:00Z</dcterms:modified>
  <cp:revision>2</cp:revision>
  <dc:subject/>
  <dc:title>GAS ADDENDUM (CONST)</dc:title>
</cp:coreProperties>
</file>